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5D3CB3" w:rsidRDefault="005D3CB3" w:rsidP="005D3CB3">
      <w:r w:rsidRPr="00511B34">
        <w:rPr>
          <w:rFonts w:ascii="Times New Roman" w:eastAsia="Times New Roman" w:hAnsi="Times New Roman"/>
          <w:b/>
          <w:sz w:val="24"/>
          <w:szCs w:val="24"/>
          <w:lang w:eastAsia="ru-RU"/>
        </w:rPr>
        <w:t xml:space="preserve">Вишневська Ганна Олександрівна, </w:t>
      </w:r>
      <w:r>
        <w:rPr>
          <w:rFonts w:ascii="Times New Roman" w:eastAsia="Times New Roman" w:hAnsi="Times New Roman"/>
          <w:sz w:val="24"/>
          <w:szCs w:val="24"/>
          <w:lang w:eastAsia="ru-RU"/>
        </w:rPr>
        <w:t>Генеральний директор Комунального некомерційного підприємства</w:t>
      </w:r>
      <w:r w:rsidRPr="00511B34">
        <w:rPr>
          <w:rFonts w:ascii="Times New Roman" w:eastAsia="Times New Roman" w:hAnsi="Times New Roman"/>
          <w:sz w:val="24"/>
          <w:szCs w:val="24"/>
          <w:lang w:eastAsia="ru-RU"/>
        </w:rPr>
        <w:t xml:space="preserve"> «Одеська обласна клінічна стоматологічна полік</w:t>
      </w:r>
      <w:r>
        <w:rPr>
          <w:rFonts w:ascii="Times New Roman" w:eastAsia="Times New Roman" w:hAnsi="Times New Roman"/>
          <w:sz w:val="24"/>
          <w:szCs w:val="24"/>
          <w:lang w:eastAsia="ru-RU"/>
        </w:rPr>
        <w:t xml:space="preserve">лініка» Одеської обласної ради; </w:t>
      </w:r>
      <w:r w:rsidRPr="00511B34">
        <w:rPr>
          <w:rFonts w:ascii="Times New Roman" w:eastAsia="Times New Roman" w:hAnsi="Times New Roman"/>
          <w:sz w:val="24"/>
          <w:szCs w:val="24"/>
          <w:lang w:eastAsia="ru-RU"/>
        </w:rPr>
        <w:t>завідувач кафедри ортопедичної стоматології Одеського національного медичного університету МОЗ України. Назва дисертації: «Патогенетичне обґрунтування регенеративної терапії у комплексному лікуванні осіб з хронічним генералізованим пародонтитом (експериментально-клінічне дослідження)».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AE0F79" w:rsidRPr="005D3CB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5D3CB3" w:rsidRPr="005D3CB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17B9F-47BA-4388-BD9F-8ADE1618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2021-06-24T07:00:00Z</dcterms:created>
  <dcterms:modified xsi:type="dcterms:W3CDTF">2021-06-30T12:39:00Z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