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E91D" w14:textId="77777777" w:rsidR="00AF3CBF" w:rsidRDefault="00AF3CBF" w:rsidP="00AF3CBF">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оценка дебиторской задолженности в условиях антикризисного управления</w:t>
      </w:r>
    </w:p>
    <w:p w14:paraId="1AFC6335" w14:textId="77777777" w:rsidR="00AF3CBF" w:rsidRDefault="00AF3CBF" w:rsidP="00AF3CBF">
      <w:pPr>
        <w:rPr>
          <w:rFonts w:ascii="Verdana" w:hAnsi="Verdana"/>
          <w:color w:val="000000"/>
          <w:sz w:val="18"/>
          <w:szCs w:val="18"/>
          <w:shd w:val="clear" w:color="auto" w:fill="FFFFFF"/>
        </w:rPr>
      </w:pPr>
    </w:p>
    <w:p w14:paraId="5F76A7DE" w14:textId="77777777" w:rsidR="00AF3CBF" w:rsidRDefault="00AF3CBF" w:rsidP="00AF3CBF">
      <w:pPr>
        <w:rPr>
          <w:rFonts w:ascii="Verdana" w:hAnsi="Verdana"/>
          <w:color w:val="000000"/>
          <w:sz w:val="18"/>
          <w:szCs w:val="18"/>
          <w:shd w:val="clear" w:color="auto" w:fill="FFFFFF"/>
        </w:rPr>
      </w:pPr>
    </w:p>
    <w:p w14:paraId="08080DCC" w14:textId="77777777" w:rsidR="00AF3CBF" w:rsidRDefault="00AF3CBF" w:rsidP="00AF3CB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Лазарев, Павел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0609D4"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2006</w:t>
      </w:r>
    </w:p>
    <w:p w14:paraId="5AB3CA44"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63765C"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Лазарев, Павел Юрьевич</w:t>
      </w:r>
    </w:p>
    <w:p w14:paraId="08C0713B"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9C494B0"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88FCE0"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5A0E84"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Москва</w:t>
      </w:r>
    </w:p>
    <w:p w14:paraId="40EBC26F"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F8EE60E"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08.00.12</w:t>
      </w:r>
    </w:p>
    <w:p w14:paraId="181C76BD"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03E75C"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CF7ED4" w14:textId="77777777" w:rsidR="00AF3CBF" w:rsidRDefault="00AF3CBF" w:rsidP="00AF3CBF">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2414CA7" w14:textId="77777777" w:rsidR="00AF3CBF" w:rsidRDefault="00AF3CBF" w:rsidP="00AF3CBF">
      <w:pPr>
        <w:spacing w:line="270" w:lineRule="atLeast"/>
        <w:rPr>
          <w:rFonts w:ascii="Verdana" w:hAnsi="Verdana"/>
          <w:color w:val="000000"/>
          <w:sz w:val="18"/>
          <w:szCs w:val="18"/>
        </w:rPr>
      </w:pPr>
      <w:r>
        <w:rPr>
          <w:rFonts w:ascii="Verdana" w:hAnsi="Verdana"/>
          <w:color w:val="000000"/>
          <w:sz w:val="18"/>
          <w:szCs w:val="18"/>
        </w:rPr>
        <w:t>176</w:t>
      </w:r>
    </w:p>
    <w:p w14:paraId="0E268102" w14:textId="77777777" w:rsidR="00AF3CBF" w:rsidRDefault="00AF3CBF" w:rsidP="00AF3CB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Лазарев, Павел Юрьевич</w:t>
      </w:r>
    </w:p>
    <w:p w14:paraId="762FD123"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771A63"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анализа и оценки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2B3C0662"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особенности ее анализа и 10 оценки</w:t>
      </w:r>
    </w:p>
    <w:p w14:paraId="38CD9CD8"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Правовое регулирование процесса анализа и оценки дебиторской 27 задолженности в-условиях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w:t>
      </w:r>
    </w:p>
    <w:p w14:paraId="4306C9A2"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анализа и оценки дебиторской 36 задолженности</w:t>
      </w:r>
    </w:p>
    <w:p w14:paraId="76722A68"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существующих методик анализа и оценки дебиторской задолженности</w:t>
      </w:r>
    </w:p>
    <w:p w14:paraId="14D1E0D4"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анализа кумулятивного коэффициента уменьшения</w:t>
      </w:r>
    </w:p>
    <w:p w14:paraId="52AAE108"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анализа альтернативных сценариев</w:t>
      </w:r>
    </w:p>
    <w:p w14:paraId="0087DCB5"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других методик анализа и оценки дебиторской 72 задолженности</w:t>
      </w:r>
    </w:p>
    <w:p w14:paraId="772AB556"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Предложения по совершенствованию методик анализа и оценки дебиторской задолженности</w:t>
      </w:r>
    </w:p>
    <w:p w14:paraId="3C7B9D2E"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и оценки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95 антикризисного управления</w:t>
      </w:r>
    </w:p>
    <w:p w14:paraId="6D49B32B"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Примеры применения предлагаемой методики анализа и оценки 118 дебиторской задолженности в условиях антикризисного</w:t>
      </w:r>
      <w:r>
        <w:rPr>
          <w:rStyle w:val="WW8Num2z0"/>
          <w:rFonts w:ascii="Verdana" w:hAnsi="Verdana"/>
          <w:color w:val="000000"/>
          <w:sz w:val="18"/>
          <w:szCs w:val="18"/>
        </w:rPr>
        <w:t> </w:t>
      </w:r>
      <w:r>
        <w:rPr>
          <w:rStyle w:val="WW8Num3z0"/>
          <w:rFonts w:ascii="Verdana" w:hAnsi="Verdana"/>
          <w:color w:val="4682B4"/>
          <w:sz w:val="18"/>
          <w:szCs w:val="18"/>
        </w:rPr>
        <w:t>управления</w:t>
      </w:r>
    </w:p>
    <w:p w14:paraId="3F6B6112" w14:textId="77777777" w:rsidR="00AF3CBF" w:rsidRDefault="00AF3CBF" w:rsidP="00AF3CB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оценка дебиторской задолженности в условиях антикризисного управления"</w:t>
      </w:r>
    </w:p>
    <w:p w14:paraId="1577D179"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30ABD1F2"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 xml:space="preserve">задолженность, представляющая собой задолженность третьих лиц перед </w:t>
      </w:r>
      <w:proofErr w:type="gramStart"/>
      <w:r>
        <w:rPr>
          <w:rFonts w:ascii="Verdana" w:hAnsi="Verdana"/>
          <w:color w:val="000000"/>
          <w:sz w:val="18"/>
          <w:szCs w:val="18"/>
        </w:rPr>
        <w:lastRenderedPageBreak/>
        <w:t>рассматриваемым предприятием</w:t>
      </w:r>
      <w:proofErr w:type="gramEnd"/>
      <w:r>
        <w:rPr>
          <w:rFonts w:ascii="Verdana" w:hAnsi="Verdana"/>
          <w:color w:val="000000"/>
          <w:sz w:val="18"/>
          <w:szCs w:val="18"/>
        </w:rPr>
        <w:t xml:space="preserve"> является одним 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формирующих финансовую устойчивость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компании. Таким образом, исследование вопросов, связанных с анализом и оценкой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имеет не меньшее значение, чем рассмотрение аналогичных вопросов относительно основных средств,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товарно-материальных ценностей, собственного капитала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компании.</w:t>
      </w:r>
    </w:p>
    <w:p w14:paraId="4AA1F33A"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проблема анализа и оценки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приобретает в процессе антикризисного управления, когда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дебиторской задолженности необходима для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бизнеса или для удовлетворения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41FCC865"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факт обусловлен следующими причинами:</w:t>
      </w:r>
    </w:p>
    <w:p w14:paraId="19A099BE"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правило, на предприятиях, находящихся в финансовом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процедуры учета хозяйственных операций не ведутся надлежащим образом, а система управления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отсутствует, что приводит, в частности, к возникновению больших сумм</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4136D9B4"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управляющий является, в большинстве случаев, лицом, приглашенным извне для решения проблем конкретного предприятия. Для того, чтобы ознакомиться с состояние дел на подчиненном ему предприятие,</w:t>
      </w:r>
      <w:r>
        <w:rPr>
          <w:rStyle w:val="WW8Num2z0"/>
          <w:rFonts w:ascii="Verdana" w:hAnsi="Verdana"/>
          <w:color w:val="000000"/>
          <w:sz w:val="18"/>
          <w:szCs w:val="18"/>
        </w:rPr>
        <w:t> </w:t>
      </w:r>
      <w:r>
        <w:rPr>
          <w:rStyle w:val="WW8Num3z0"/>
          <w:rFonts w:ascii="Verdana" w:hAnsi="Verdana"/>
          <w:color w:val="4682B4"/>
          <w:sz w:val="18"/>
          <w:szCs w:val="18"/>
        </w:rPr>
        <w:t>антикризисному</w:t>
      </w:r>
      <w:r>
        <w:rPr>
          <w:rStyle w:val="WW8Num2z0"/>
          <w:rFonts w:ascii="Verdana" w:hAnsi="Verdana"/>
          <w:color w:val="000000"/>
          <w:sz w:val="18"/>
          <w:szCs w:val="18"/>
        </w:rPr>
        <w:t> </w:t>
      </w:r>
      <w:r>
        <w:rPr>
          <w:rFonts w:ascii="Verdana" w:hAnsi="Verdana"/>
          <w:color w:val="000000"/>
          <w:sz w:val="18"/>
          <w:szCs w:val="18"/>
        </w:rPr>
        <w:t xml:space="preserve">управляющему необходимо прежде всего провести комплексный анализ его финансово-хозяйственной деятельности, в </w:t>
      </w:r>
      <w:proofErr w:type="spellStart"/>
      <w:r>
        <w:rPr>
          <w:rFonts w:ascii="Verdana" w:hAnsi="Verdana"/>
          <w:color w:val="000000"/>
          <w:sz w:val="18"/>
          <w:szCs w:val="18"/>
        </w:rPr>
        <w:t>т.ч</w:t>
      </w:r>
      <w:proofErr w:type="spellEnd"/>
      <w:r>
        <w:rPr>
          <w:rFonts w:ascii="Verdana" w:hAnsi="Verdana"/>
          <w:color w:val="000000"/>
          <w:sz w:val="18"/>
          <w:szCs w:val="18"/>
        </w:rPr>
        <w:t>. анализ состояния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дочерними и зависимыми обществами и</w:t>
      </w:r>
      <w:r>
        <w:rPr>
          <w:rStyle w:val="WW8Num2z0"/>
          <w:rFonts w:ascii="Verdana" w:hAnsi="Verdana"/>
          <w:color w:val="000000"/>
          <w:sz w:val="18"/>
          <w:szCs w:val="18"/>
        </w:rPr>
        <w:t> </w:t>
      </w:r>
      <w:proofErr w:type="spellStart"/>
      <w:r>
        <w:rPr>
          <w:rStyle w:val="WW8Num3z0"/>
          <w:rFonts w:ascii="Verdana" w:hAnsi="Verdana"/>
          <w:color w:val="4682B4"/>
          <w:sz w:val="18"/>
          <w:szCs w:val="18"/>
        </w:rPr>
        <w:t>прочими</w:t>
      </w:r>
      <w:r>
        <w:rPr>
          <w:rFonts w:ascii="Verdana" w:hAnsi="Verdana"/>
          <w:color w:val="000000"/>
          <w:sz w:val="18"/>
          <w:szCs w:val="18"/>
        </w:rPr>
        <w:t>дебиторами</w:t>
      </w:r>
      <w:proofErr w:type="spellEnd"/>
      <w:r>
        <w:rPr>
          <w:rFonts w:ascii="Verdana" w:hAnsi="Verdana"/>
          <w:color w:val="000000"/>
          <w:sz w:val="18"/>
          <w:szCs w:val="18"/>
        </w:rPr>
        <w:t>.</w:t>
      </w:r>
    </w:p>
    <w:p w14:paraId="704A9366"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 xml:space="preserve"> том случае, когда</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проводится в рамках Федерального закона от 26 октября 2002г.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то проведение анализа дебиторской задолженности является обязательным, а все операции с задолженностью могут совершаться только после получения заключения специализированной оценочной компании.</w:t>
      </w:r>
    </w:p>
    <w:p w14:paraId="7805950E"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данных условиях антикризисному управляющему или приглашенной им компании, оказывающей соответствующие</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необходим четкий инструментарий анализа и оценки дебиторской задолженности, который позволит им применять наиболее эффективные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ситуации управленческие решения относительно задолженности перед предприятием.</w:t>
      </w:r>
    </w:p>
    <w:p w14:paraId="09343499"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заключается в необходимости разработки методик анализа и оценки дебиторской задолженности, которые могут быть применены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w:t>
      </w:r>
    </w:p>
    <w:p w14:paraId="32D28476"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51306328"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работы послужили научные исследования в сфере теории, методологии, организации анализа, учета, оценки дебиторской задолженности. В процессе работы над темой исследования были использованы труды российских специалистов:</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А.Д., Палия В.Ф., Лаврушина А.А.,</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 xml:space="preserve">М.А., Булычевой Г.В., </w:t>
      </w:r>
      <w:proofErr w:type="spellStart"/>
      <w:r>
        <w:rPr>
          <w:rFonts w:ascii="Verdana" w:hAnsi="Verdana"/>
          <w:color w:val="000000"/>
          <w:sz w:val="18"/>
          <w:szCs w:val="18"/>
        </w:rPr>
        <w:t>Хорина</w:t>
      </w:r>
      <w:proofErr w:type="spellEnd"/>
      <w:r>
        <w:rPr>
          <w:rFonts w:ascii="Verdana" w:hAnsi="Verdana"/>
          <w:color w:val="000000"/>
          <w:sz w:val="18"/>
          <w:szCs w:val="18"/>
        </w:rPr>
        <w:t xml:space="preserve"> А.Н.,</w:t>
      </w:r>
      <w:r>
        <w:rPr>
          <w:rStyle w:val="WW8Num2z0"/>
          <w:rFonts w:ascii="Verdana" w:hAnsi="Verdana"/>
          <w:color w:val="000000"/>
          <w:sz w:val="18"/>
          <w:szCs w:val="18"/>
        </w:rPr>
        <w:t> </w:t>
      </w:r>
      <w:r>
        <w:rPr>
          <w:rStyle w:val="WW8Num3z0"/>
          <w:rFonts w:ascii="Verdana" w:hAnsi="Verdana"/>
          <w:color w:val="4682B4"/>
          <w:sz w:val="18"/>
          <w:szCs w:val="18"/>
        </w:rPr>
        <w:t>Егерева</w:t>
      </w:r>
      <w:r>
        <w:rPr>
          <w:rStyle w:val="WW8Num2z0"/>
          <w:rFonts w:ascii="Verdana" w:hAnsi="Verdana"/>
          <w:color w:val="000000"/>
          <w:sz w:val="18"/>
          <w:szCs w:val="18"/>
        </w:rPr>
        <w:t> </w:t>
      </w:r>
      <w:r>
        <w:rPr>
          <w:rFonts w:ascii="Verdana" w:hAnsi="Verdana"/>
          <w:color w:val="000000"/>
          <w:sz w:val="18"/>
          <w:szCs w:val="18"/>
        </w:rPr>
        <w:t>И.А., Ковалева А.И., Грязновой А.Г.,</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В.И., Громыко Г.Л. и многих других.</w:t>
      </w:r>
    </w:p>
    <w:p w14:paraId="4858C987"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применялись гражданский, гражданский процессуальный, налоговый, арбитражный процессуальный кодексы, федеральные законы, нормативные акты Правительства РФ, Центрального банка РФ, Министерства финансов РФ и других государственных органов власти.</w:t>
      </w:r>
    </w:p>
    <w:p w14:paraId="11380B46"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решении поставленных задач автором использованы приемы систематизации научных данных: наблюдение, сравнение, анализ и синтез, методы системного подхода, основанные на обобщении, сравнении и сопоставлении теоретического и </w:t>
      </w:r>
      <w:proofErr w:type="spellStart"/>
      <w:r>
        <w:rPr>
          <w:rFonts w:ascii="Verdana" w:hAnsi="Verdana"/>
          <w:color w:val="000000"/>
          <w:sz w:val="18"/>
          <w:szCs w:val="18"/>
        </w:rPr>
        <w:t>фактологического</w:t>
      </w:r>
      <w:proofErr w:type="spellEnd"/>
      <w:r>
        <w:rPr>
          <w:rFonts w:ascii="Verdana" w:hAnsi="Verdana"/>
          <w:color w:val="000000"/>
          <w:sz w:val="18"/>
          <w:szCs w:val="18"/>
        </w:rPr>
        <w:t xml:space="preserve"> материала, что позволило обеспечить достоверность и обоснованность выводов и рекомендаций, предложенных в диссертации.</w:t>
      </w:r>
    </w:p>
    <w:p w14:paraId="2E153DFE"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7FF810A3"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общепринятой методики анализа и оценки дебиторской задолженности, несмотря на то, что существует достаточно большой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данную услугу со стороны организаций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Встречающиеся в экономической литературе рекомендации по рассматриваемой проблеме носят, как правило, общий характер и не могут быть использованы для проведения аналитической работы и количественной оценки задолженности </w:t>
      </w:r>
      <w:r>
        <w:rPr>
          <w:rFonts w:ascii="Verdana" w:hAnsi="Verdana"/>
          <w:color w:val="000000"/>
          <w:sz w:val="18"/>
          <w:szCs w:val="18"/>
        </w:rPr>
        <w:lastRenderedPageBreak/>
        <w:t>конкретного</w:t>
      </w:r>
      <w:r>
        <w:rPr>
          <w:rStyle w:val="WW8Num2z0"/>
          <w:rFonts w:ascii="Verdana" w:hAnsi="Verdana"/>
          <w:color w:val="000000"/>
          <w:sz w:val="18"/>
          <w:szCs w:val="18"/>
        </w:rPr>
        <w:t> </w:t>
      </w:r>
      <w:r>
        <w:rPr>
          <w:rStyle w:val="WW8Num3z0"/>
          <w:rFonts w:ascii="Verdana" w:hAnsi="Verdana"/>
          <w:color w:val="4682B4"/>
          <w:sz w:val="18"/>
          <w:szCs w:val="18"/>
        </w:rPr>
        <w:t>дебитора</w:t>
      </w:r>
      <w:r>
        <w:rPr>
          <w:rFonts w:ascii="Verdana" w:hAnsi="Verdana"/>
          <w:color w:val="000000"/>
          <w:sz w:val="18"/>
          <w:szCs w:val="18"/>
        </w:rPr>
        <w:t>.</w:t>
      </w:r>
    </w:p>
    <w:p w14:paraId="6AA33579"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при анализе и оценке дебиторской задолженности международного опыта также практически невозможно, т.к. в развитых странах проблема</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 xml:space="preserve">стоит не так </w:t>
      </w:r>
      <w:proofErr w:type="gramStart"/>
      <w:r>
        <w:rPr>
          <w:rFonts w:ascii="Verdana" w:hAnsi="Verdana"/>
          <w:color w:val="000000"/>
          <w:sz w:val="18"/>
          <w:szCs w:val="18"/>
        </w:rPr>
        <w:t>остро</w:t>
      </w:r>
      <w:proofErr w:type="gramEnd"/>
      <w:r>
        <w:rPr>
          <w:rFonts w:ascii="Verdana" w:hAnsi="Verdana"/>
          <w:color w:val="000000"/>
          <w:sz w:val="18"/>
          <w:szCs w:val="18"/>
        </w:rPr>
        <w:t xml:space="preserve"> как в России.</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иностранных компаний существуют, как правило, в форме</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облигаций и других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способных свободно обращаться на</w:t>
      </w:r>
      <w:r>
        <w:rPr>
          <w:rStyle w:val="WW8Num2z0"/>
          <w:rFonts w:ascii="Verdana" w:hAnsi="Verdana"/>
          <w:color w:val="000000"/>
          <w:sz w:val="18"/>
          <w:szCs w:val="18"/>
        </w:rPr>
        <w:t> </w:t>
      </w:r>
      <w:r>
        <w:rPr>
          <w:rStyle w:val="WW8Num3z0"/>
          <w:rFonts w:ascii="Verdana" w:hAnsi="Verdana"/>
          <w:color w:val="4682B4"/>
          <w:sz w:val="18"/>
          <w:szCs w:val="18"/>
        </w:rPr>
        <w:t>биржевом</w:t>
      </w:r>
      <w:r>
        <w:rPr>
          <w:rStyle w:val="WW8Num2z0"/>
          <w:rFonts w:ascii="Verdana" w:hAnsi="Verdana"/>
          <w:color w:val="000000"/>
          <w:sz w:val="18"/>
          <w:szCs w:val="18"/>
        </w:rPr>
        <w:t> </w:t>
      </w:r>
      <w:r>
        <w:rPr>
          <w:rFonts w:ascii="Verdana" w:hAnsi="Verdana"/>
          <w:color w:val="000000"/>
          <w:sz w:val="18"/>
          <w:szCs w:val="18"/>
        </w:rPr>
        <w:t>и внебиржевом рынке. Проблема оценки дебиторской задолженности, таким образом, сводится, главным образом, к оценке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12475154"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проблема оценки дебиторской задолженности и применяемых для решения данной задачи аналитических процедур в настоящее время в РФ практически не разработана.</w:t>
      </w:r>
    </w:p>
    <w:p w14:paraId="5507CC58"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27373B17"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разработка методики анализа и оценки дебиторской задолженности в условиях антикризисного управления.</w:t>
      </w:r>
    </w:p>
    <w:p w14:paraId="0CE2A325"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работы необходимо решить ряд задач:</w:t>
      </w:r>
    </w:p>
    <w:p w14:paraId="6D998859"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теоретические предпосылки анализа и оценки дебиторской задолженности, выявить параметры, определяющие выбор конкретных методик ее анализа и оценки.</w:t>
      </w:r>
    </w:p>
    <w:p w14:paraId="3610AA3B"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вопросы правового регулирования анализа и оценки дебиторской задолженности в условиях антикризисного управления; Рассмотреть вопросы, связанные с информационным обеспечением оценки и анализа дебиторской задолженности и с правовым анализом документов по оцениваемой задолженности;</w:t>
      </w:r>
    </w:p>
    <w:p w14:paraId="385F627D"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существующих в настоящее время методик анализа и оценки дебиторской задолженности, выявить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недостатки и область применения.</w:t>
      </w:r>
    </w:p>
    <w:p w14:paraId="3E523312"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собственные предложения по совершенствованию методик анализа и оценки дебиторской задолженности.</w:t>
      </w:r>
    </w:p>
    <w:p w14:paraId="727E1553"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6A04FE8C"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диссертационной работы являются особенности анализа и оценки дебиторской задолженности и методики анализа и оценки дебиторской задолженности.</w:t>
      </w:r>
    </w:p>
    <w:p w14:paraId="5CA62231"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6C7A89C4"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коммерческих банков, находящихся в стадии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ОАО «</w:t>
      </w:r>
      <w:proofErr w:type="spellStart"/>
      <w:r>
        <w:rPr>
          <w:rStyle w:val="WW8Num3z0"/>
          <w:rFonts w:ascii="Verdana" w:hAnsi="Verdana"/>
          <w:color w:val="4682B4"/>
          <w:sz w:val="18"/>
          <w:szCs w:val="18"/>
        </w:rPr>
        <w:t>Межкомбанк</w:t>
      </w:r>
      <w:proofErr w:type="spellEnd"/>
      <w:r>
        <w:rPr>
          <w:rFonts w:ascii="Verdana" w:hAnsi="Verdana"/>
          <w:color w:val="000000"/>
          <w:sz w:val="18"/>
          <w:szCs w:val="18"/>
        </w:rPr>
        <w:t>», ОАО «</w:t>
      </w:r>
      <w:r>
        <w:rPr>
          <w:rStyle w:val="WW8Num3z0"/>
          <w:rFonts w:ascii="Verdana" w:hAnsi="Verdana"/>
          <w:color w:val="4682B4"/>
          <w:sz w:val="18"/>
          <w:szCs w:val="18"/>
        </w:rPr>
        <w:t>Инкомбанк</w:t>
      </w:r>
      <w:r>
        <w:rPr>
          <w:rFonts w:ascii="Verdana" w:hAnsi="Verdana"/>
          <w:color w:val="000000"/>
          <w:sz w:val="18"/>
          <w:szCs w:val="18"/>
        </w:rPr>
        <w:t>» и др., а также дебиторская задолженность</w:t>
      </w:r>
      <w:r>
        <w:rPr>
          <w:rStyle w:val="WW8Num2z0"/>
          <w:rFonts w:ascii="Verdana" w:hAnsi="Verdana"/>
          <w:color w:val="000000"/>
          <w:sz w:val="18"/>
          <w:szCs w:val="18"/>
        </w:rPr>
        <w:t> </w:t>
      </w:r>
      <w:proofErr w:type="spellStart"/>
      <w:r>
        <w:rPr>
          <w:rStyle w:val="WW8Num3z0"/>
          <w:rFonts w:ascii="Verdana" w:hAnsi="Verdana"/>
          <w:color w:val="4682B4"/>
          <w:sz w:val="18"/>
          <w:szCs w:val="18"/>
        </w:rPr>
        <w:t>некредитных</w:t>
      </w:r>
      <w:proofErr w:type="spellEnd"/>
      <w:r>
        <w:rPr>
          <w:rStyle w:val="WW8Num2z0"/>
          <w:rFonts w:ascii="Verdana" w:hAnsi="Verdana"/>
          <w:color w:val="000000"/>
          <w:sz w:val="18"/>
          <w:szCs w:val="18"/>
        </w:rPr>
        <w:t> </w:t>
      </w:r>
      <w:r>
        <w:rPr>
          <w:rFonts w:ascii="Verdana" w:hAnsi="Verdana"/>
          <w:color w:val="000000"/>
          <w:sz w:val="18"/>
          <w:szCs w:val="18"/>
        </w:rPr>
        <w:t>организаций других отраслей.</w:t>
      </w:r>
    </w:p>
    <w:p w14:paraId="3404077C"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199FED73"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2765209B"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влияющие на процесс принятия</w:t>
      </w:r>
      <w:r>
        <w:rPr>
          <w:rStyle w:val="WW8Num2z0"/>
          <w:rFonts w:ascii="Verdana" w:hAnsi="Verdana"/>
          <w:color w:val="000000"/>
          <w:sz w:val="18"/>
          <w:szCs w:val="18"/>
        </w:rPr>
        <w:t> </w:t>
      </w:r>
      <w:r>
        <w:rPr>
          <w:rStyle w:val="WW8Num3z0"/>
          <w:rFonts w:ascii="Verdana" w:hAnsi="Verdana"/>
          <w:color w:val="4682B4"/>
          <w:sz w:val="18"/>
          <w:szCs w:val="18"/>
        </w:rPr>
        <w:t>антикризисным</w:t>
      </w:r>
      <w:r>
        <w:rPr>
          <w:rStyle w:val="WW8Num2z0"/>
          <w:rFonts w:ascii="Verdana" w:hAnsi="Verdana"/>
          <w:color w:val="000000"/>
          <w:sz w:val="18"/>
          <w:szCs w:val="18"/>
        </w:rPr>
        <w:t> </w:t>
      </w:r>
      <w:r>
        <w:rPr>
          <w:rFonts w:ascii="Verdana" w:hAnsi="Verdana"/>
          <w:color w:val="000000"/>
          <w:sz w:val="18"/>
          <w:szCs w:val="18"/>
        </w:rPr>
        <w:t>управляющим решений в процессе анализа и оценки дебиторской задолженности.</w:t>
      </w:r>
    </w:p>
    <w:p w14:paraId="6DA0AD40"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раскрыты особенности дебиторской задолженности как объекта анализа и оценки.</w:t>
      </w:r>
    </w:p>
    <w:p w14:paraId="48237360"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критерии, влияющие на выбор методики анализа и оценки дебиторской задолженности.</w:t>
      </w:r>
    </w:p>
    <w:p w14:paraId="130DFEEC"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совершенствованию существующих методик анализа и оценки дебиторской задолженности.</w:t>
      </w:r>
    </w:p>
    <w:p w14:paraId="1AF95D6F"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 оценки дебиторской задолженности \ в условиях антикризисного управления, применение которой показано на примере дебиторской задолженности российского банка.</w:t>
      </w:r>
    </w:p>
    <w:p w14:paraId="6B82198D"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91B3932"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результаты ориентированы на их широкое применение в работе</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 xml:space="preserve">управляющих, а также компаний, </w:t>
      </w:r>
      <w:r>
        <w:rPr>
          <w:rFonts w:ascii="Verdana" w:hAnsi="Verdana"/>
          <w:color w:val="000000"/>
          <w:sz w:val="18"/>
          <w:szCs w:val="18"/>
        </w:rPr>
        <w:lastRenderedPageBreak/>
        <w:t>оказывающих консультационные услуги по анализу и оценке дебиторской задолженности предприятий, в отношении которых ведутся</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процедуры.</w:t>
      </w:r>
    </w:p>
    <w:p w14:paraId="246E207D"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имеющих практическое значение можно отнести:</w:t>
      </w:r>
    </w:p>
    <w:p w14:paraId="2FE10F7D"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требования к информационному обеспечению процесса анализа и оценки дебиторской задолженности.</w:t>
      </w:r>
    </w:p>
    <w:p w14:paraId="681BEB1A"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преимущества, недостатки существующих методик анализа и оценки дебиторской задолженности, которые могут быть применены на практике с учетом содержащихся в них ограничений и допущений.</w:t>
      </w:r>
    </w:p>
    <w:p w14:paraId="1217233C"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организации действий антикризисного управляющего по анализу и оценке дебиторской задолженности на предприятии -</w:t>
      </w:r>
      <w:r>
        <w:rPr>
          <w:rStyle w:val="WW8Num2z0"/>
          <w:rFonts w:ascii="Verdana" w:hAnsi="Verdana"/>
          <w:color w:val="000000"/>
          <w:sz w:val="18"/>
          <w:szCs w:val="18"/>
        </w:rPr>
        <w:t> </w:t>
      </w:r>
      <w:r>
        <w:rPr>
          <w:rStyle w:val="WW8Num3z0"/>
          <w:rFonts w:ascii="Verdana" w:hAnsi="Verdana"/>
          <w:color w:val="4682B4"/>
          <w:sz w:val="18"/>
          <w:szCs w:val="18"/>
        </w:rPr>
        <w:t>кредиторе</w:t>
      </w:r>
      <w:r>
        <w:rPr>
          <w:rFonts w:ascii="Verdana" w:hAnsi="Verdana"/>
          <w:color w:val="000000"/>
          <w:sz w:val="18"/>
          <w:szCs w:val="18"/>
        </w:rPr>
        <w:t>.</w:t>
      </w:r>
    </w:p>
    <w:p w14:paraId="1CAF5FA9"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существующих методик анализа и оценки дебиторской задолженности, внедрение которых в практическую деятельность позволит сократить время и затраты на проведение аналитических и оценочных расчетов.</w:t>
      </w:r>
    </w:p>
    <w:p w14:paraId="0EF585FA"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7C218868"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носит научно-практический характер, его отдельные составляющие были опубликованы автором, использованы в его практической деятельности и применяются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КБ «</w:t>
      </w:r>
      <w:r>
        <w:rPr>
          <w:rStyle w:val="WW8Num3z0"/>
          <w:rFonts w:ascii="Verdana" w:hAnsi="Verdana"/>
          <w:color w:val="4682B4"/>
          <w:sz w:val="18"/>
          <w:szCs w:val="18"/>
        </w:rPr>
        <w:t>Смоленский Банк</w:t>
      </w:r>
      <w:r>
        <w:rPr>
          <w:rFonts w:ascii="Verdana" w:hAnsi="Verdana"/>
          <w:color w:val="000000"/>
          <w:sz w:val="18"/>
          <w:szCs w:val="18"/>
        </w:rPr>
        <w:t>», ООО "</w:t>
      </w:r>
      <w:proofErr w:type="spellStart"/>
      <w:r>
        <w:rPr>
          <w:rFonts w:ascii="Verdana" w:hAnsi="Verdana"/>
          <w:color w:val="000000"/>
          <w:sz w:val="18"/>
          <w:szCs w:val="18"/>
        </w:rPr>
        <w:t>Гудиер</w:t>
      </w:r>
      <w:proofErr w:type="spellEnd"/>
      <w:r>
        <w:rPr>
          <w:rFonts w:ascii="Verdana" w:hAnsi="Verdana"/>
          <w:color w:val="000000"/>
          <w:sz w:val="18"/>
          <w:szCs w:val="18"/>
        </w:rPr>
        <w:t xml:space="preserve"> Раша", ООО «</w:t>
      </w:r>
      <w:r>
        <w:rPr>
          <w:rStyle w:val="WW8Num3z0"/>
          <w:rFonts w:ascii="Verdana" w:hAnsi="Verdana"/>
          <w:color w:val="4682B4"/>
          <w:sz w:val="18"/>
          <w:szCs w:val="18"/>
        </w:rPr>
        <w:t>Центр экспертизы собственности</w:t>
      </w:r>
      <w:r>
        <w:rPr>
          <w:rFonts w:ascii="Verdana" w:hAnsi="Verdana"/>
          <w:color w:val="000000"/>
          <w:sz w:val="18"/>
          <w:szCs w:val="18"/>
        </w:rPr>
        <w:t>». Апробация и внедрение результатов исследования подтверждены справками о внедрении.</w:t>
      </w:r>
    </w:p>
    <w:p w14:paraId="2D7AEDA7" w14:textId="77777777" w:rsidR="00AF3CBF" w:rsidRDefault="00AF3CBF" w:rsidP="00AF3C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также апробированы на Международной научно-практической конференции «</w:t>
      </w:r>
      <w:proofErr w:type="spellStart"/>
      <w:r>
        <w:rPr>
          <w:rStyle w:val="WW8Num3z0"/>
          <w:rFonts w:ascii="Verdana" w:hAnsi="Verdana"/>
          <w:color w:val="4682B4"/>
          <w:sz w:val="18"/>
          <w:szCs w:val="18"/>
        </w:rPr>
        <w:t>Татуровские</w:t>
      </w:r>
      <w:proofErr w:type="spellEnd"/>
      <w:r>
        <w:rPr>
          <w:rStyle w:val="WW8Num2z0"/>
          <w:rFonts w:ascii="Verdana" w:hAnsi="Verdana"/>
          <w:color w:val="000000"/>
          <w:sz w:val="18"/>
          <w:szCs w:val="18"/>
        </w:rPr>
        <w:t> </w:t>
      </w:r>
      <w:r>
        <w:rPr>
          <w:rFonts w:ascii="Verdana" w:hAnsi="Verdana"/>
          <w:color w:val="000000"/>
          <w:sz w:val="18"/>
          <w:szCs w:val="18"/>
        </w:rPr>
        <w:t>чтения» в МГУ им. М.В. Ломоносова - г. Москва, 2005г. и Научно-практической конференции «</w:t>
      </w:r>
      <w:r>
        <w:rPr>
          <w:rStyle w:val="WW8Num3z0"/>
          <w:rFonts w:ascii="Verdana" w:hAnsi="Verdana"/>
          <w:color w:val="4682B4"/>
          <w:sz w:val="18"/>
          <w:szCs w:val="18"/>
        </w:rPr>
        <w:t>Перспективы развития экономики РФ</w:t>
      </w:r>
      <w:r>
        <w:rPr>
          <w:rFonts w:ascii="Verdana" w:hAnsi="Verdana"/>
          <w:color w:val="000000"/>
          <w:sz w:val="18"/>
          <w:szCs w:val="18"/>
        </w:rPr>
        <w:t>» в Московском экономико-финансовом институте - г. Москва, 2004г.</w:t>
      </w:r>
    </w:p>
    <w:p w14:paraId="5FFBDA7C"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w:t>
      </w:r>
    </w:p>
    <w:p w14:paraId="5BF9B770" w14:textId="77777777" w:rsidR="00AF3CBF" w:rsidRDefault="00AF3CBF" w:rsidP="00AF3C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изложена на 155 страницах машинописного текста и состоит из введения, трех глав, включающих 19 таблиц и 4 рисунка, заключения, библиографического списка использованной литературы, состоящего из 159 наименований и 1-го приложения.</w:t>
      </w:r>
    </w:p>
    <w:p w14:paraId="15FF2F36" w14:textId="77777777" w:rsidR="00AF3CBF" w:rsidRDefault="00AF3CBF" w:rsidP="00AF3CB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Лазарев, Павел Юрьевич, 2006 год</w:t>
      </w:r>
    </w:p>
    <w:p w14:paraId="79C2F731"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24 июня 1999 г. N 122-ФЗ "Об особенностях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субъектов естественных монополий топливно-энергетического комплекса".</w:t>
      </w:r>
    </w:p>
    <w:p w14:paraId="47920511"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8 августа 2001 г. N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от 13, 21 марта, 9 декабря 2002 г., 10 января, 27 февраля, 11, 26 марта, 23 декабря 2003 г.)</w:t>
      </w:r>
    </w:p>
    <w:p w14:paraId="47D9372A"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 октября 2002 г. N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 изменениями от 22 августа 2004 г.).</w:t>
      </w:r>
    </w:p>
    <w:p w14:paraId="732625DD"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ЦБР от 4 октября 2000 г. N 125-П "О порядке составления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 и ликвидационного баланса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и их согласования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учреждениями Банка России" (с изменениями от 13 июня 2002 г.).</w:t>
      </w:r>
    </w:p>
    <w:p w14:paraId="198786CC"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Положение ЦБР от 26 марта 2004 г. N 254-П "О порядке </w:t>
      </w:r>
      <w:proofErr w:type="spellStart"/>
      <w:r>
        <w:rPr>
          <w:rFonts w:ascii="Verdana" w:hAnsi="Verdana"/>
          <w:color w:val="000000"/>
          <w:sz w:val="18"/>
          <w:szCs w:val="18"/>
        </w:rPr>
        <w:t>формирова</w:t>
      </w:r>
      <w:proofErr w:type="spellEnd"/>
      <w:r>
        <w:rPr>
          <w:rFonts w:ascii="Verdana" w:hAnsi="Verdana"/>
          <w:color w:val="000000"/>
          <w:sz w:val="18"/>
          <w:szCs w:val="18"/>
        </w:rPr>
        <w:t xml:space="preserve">-J. </w:t>
      </w:r>
      <w:proofErr w:type="gramStart"/>
      <w:r>
        <w:rPr>
          <w:rFonts w:ascii="Verdana" w:hAnsi="Verdana"/>
          <w:color w:val="000000"/>
          <w:sz w:val="18"/>
          <w:szCs w:val="18"/>
        </w:rPr>
        <w:t xml:space="preserve">( </w:t>
      </w:r>
      <w:proofErr w:type="spellStart"/>
      <w:r>
        <w:rPr>
          <w:rFonts w:ascii="Verdana" w:hAnsi="Verdana"/>
          <w:color w:val="000000"/>
          <w:sz w:val="18"/>
          <w:szCs w:val="18"/>
        </w:rPr>
        <w:t>ния</w:t>
      </w:r>
      <w:proofErr w:type="spellEnd"/>
      <w:proofErr w:type="gramEnd"/>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 xml:space="preserve">организациями резервов на возможные потери </w:t>
      </w:r>
      <w:proofErr w:type="spellStart"/>
      <w:r>
        <w:rPr>
          <w:rFonts w:ascii="Verdana" w:hAnsi="Verdana"/>
          <w:color w:val="000000"/>
          <w:sz w:val="18"/>
          <w:szCs w:val="18"/>
        </w:rPr>
        <w:t>поссудам</w:t>
      </w:r>
      <w:proofErr w:type="spellEnd"/>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7F4B0F28"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6 января 1998 г. N 6 "О Федеральном</w:t>
      </w:r>
      <w:r>
        <w:rPr>
          <w:rStyle w:val="WW8Num2z0"/>
          <w:rFonts w:ascii="Verdana" w:hAnsi="Verdana"/>
          <w:color w:val="000000"/>
          <w:sz w:val="18"/>
          <w:szCs w:val="18"/>
        </w:rPr>
        <w:t> </w:t>
      </w:r>
      <w:r>
        <w:rPr>
          <w:rStyle w:val="WW8Num3z0"/>
          <w:rFonts w:ascii="Verdana" w:hAnsi="Verdana"/>
          <w:color w:val="4682B4"/>
          <w:sz w:val="18"/>
          <w:szCs w:val="18"/>
        </w:rPr>
        <w:t>долговом</w:t>
      </w:r>
      <w:r>
        <w:rPr>
          <w:rStyle w:val="WW8Num2z0"/>
          <w:rFonts w:ascii="Verdana" w:hAnsi="Verdana"/>
          <w:color w:val="000000"/>
          <w:sz w:val="18"/>
          <w:szCs w:val="18"/>
        </w:rPr>
        <w:t> </w:t>
      </w:r>
      <w:r>
        <w:rPr>
          <w:rFonts w:ascii="Verdana" w:hAnsi="Verdana"/>
          <w:color w:val="000000"/>
          <w:sz w:val="18"/>
          <w:szCs w:val="18"/>
        </w:rPr>
        <w:t>центре при Правительстве Российской Федерации" (с изм. и доп. от 10 июля 1998 г., 23 апреля 1999 г.).</w:t>
      </w:r>
    </w:p>
    <w:p w14:paraId="7D916392"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Правительство РФ от 27 мая 1998 г. N 516 "О дополнительных мерах по совершенствованию процедур обращения взыскания на имущество организаций".</w:t>
      </w:r>
    </w:p>
    <w:p w14:paraId="4DA5C390"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21 декабря 2000 г. N 980 "О передаче функций Федерального</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центра при Правительстве Российской Федерации Российскому фонду федерального имущества" (с изменениями от 19 апреля 2002 г.).</w:t>
      </w:r>
    </w:p>
    <w:p w14:paraId="6B4C37F6"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6 июля 2001 г. N 519 "Об утверждении стандартов оценки".</w:t>
      </w:r>
    </w:p>
    <w:p w14:paraId="660BD199"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Постановление Правительства РФ от 25 июня 2003 г. N 367 "Об утверждении Правил проведения арбитражным управляющим финансового анализа".</w:t>
      </w:r>
    </w:p>
    <w:p w14:paraId="6E74D6E3"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27 ноября 2004 г. N 691 "О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управлению федеральным имуществом".</w:t>
      </w:r>
    </w:p>
    <w:p w14:paraId="1364A96B"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 г. N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 xml:space="preserve">имущества и финансовых </w:t>
      </w:r>
      <w:proofErr w:type="spellStart"/>
      <w:r>
        <w:rPr>
          <w:rFonts w:ascii="Verdana" w:hAnsi="Verdana"/>
          <w:color w:val="000000"/>
          <w:sz w:val="18"/>
          <w:szCs w:val="18"/>
        </w:rPr>
        <w:t>обяrj</w:t>
      </w:r>
      <w:proofErr w:type="spellEnd"/>
      <w:r>
        <w:rPr>
          <w:rFonts w:ascii="Verdana" w:hAnsi="Verdana"/>
          <w:color w:val="000000"/>
          <w:sz w:val="18"/>
          <w:szCs w:val="18"/>
        </w:rPr>
        <w:t xml:space="preserve"> </w:t>
      </w:r>
      <w:proofErr w:type="spellStart"/>
      <w:r>
        <w:rPr>
          <w:rFonts w:ascii="Verdana" w:hAnsi="Verdana"/>
          <w:color w:val="000000"/>
          <w:sz w:val="18"/>
          <w:szCs w:val="18"/>
        </w:rPr>
        <w:t>зательств</w:t>
      </w:r>
      <w:proofErr w:type="spellEnd"/>
      <w:r>
        <w:rPr>
          <w:rFonts w:ascii="Verdana" w:hAnsi="Verdana"/>
          <w:color w:val="000000"/>
          <w:sz w:val="18"/>
          <w:szCs w:val="18"/>
        </w:rPr>
        <w:t>".</w:t>
      </w:r>
    </w:p>
    <w:p w14:paraId="17C43787"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22 июля 2003 г.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5D92FEB9"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29 июля 1998 г. N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 и доп. от 30 декабря 1999 г., 24 марта 2000 г.).</w:t>
      </w:r>
    </w:p>
    <w:p w14:paraId="6B42E063"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Приказ Минфина РФ от 31 октября 2000 г. N 94н "Об утверждении ^ Плана </w:t>
      </w:r>
      <w:proofErr w:type="gramStart"/>
      <w:r>
        <w:rPr>
          <w:rFonts w:ascii="Verdana" w:hAnsi="Verdana"/>
          <w:color w:val="000000"/>
          <w:sz w:val="18"/>
          <w:szCs w:val="18"/>
        </w:rPr>
        <w:t>счетов .бухгалтерского</w:t>
      </w:r>
      <w:proofErr w:type="gramEnd"/>
      <w:r>
        <w:rPr>
          <w:rFonts w:ascii="Verdana" w:hAnsi="Verdana"/>
          <w:color w:val="000000"/>
          <w:sz w:val="18"/>
          <w:szCs w:val="18"/>
        </w:rPr>
        <w:t xml:space="preserve"> учета финансово-хозяйственной деятельности организаций и инструкции по его применению" (с изменениями от 7 мая 2003 г.).</w:t>
      </w:r>
    </w:p>
    <w:p w14:paraId="7FA7265B"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6 июля 1999 г. N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4A775C95"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6 мая 1999 г. N 32н "Об утверждении Положения по бухгалтерскому учету "Доходы организации" ПБУ 9/99" (с изм. и доп. от 30 декабря 1999 г., 30 марта 2001 г.).</w:t>
      </w:r>
    </w:p>
    <w:p w14:paraId="60278CC7"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Приказ Минфина РФ от 6 мая 1999 г. N </w:t>
      </w:r>
      <w:proofErr w:type="spellStart"/>
      <w:r>
        <w:rPr>
          <w:rFonts w:ascii="Verdana" w:hAnsi="Verdana"/>
          <w:color w:val="000000"/>
          <w:sz w:val="18"/>
          <w:szCs w:val="18"/>
        </w:rPr>
        <w:t>ЗЗн</w:t>
      </w:r>
      <w:proofErr w:type="spellEnd"/>
      <w:r>
        <w:rPr>
          <w:rFonts w:ascii="Verdana" w:hAnsi="Verdana"/>
          <w:color w:val="000000"/>
          <w:sz w:val="18"/>
          <w:szCs w:val="18"/>
        </w:rPr>
        <w:t xml:space="preserve"> "Об утверждении Положения по бухгалтерскому учету "Расходы организации" ПБУ 10/99" (с изм. и доп. от 30 декабря 1999 г., 30 марта 2001 г.).</w:t>
      </w:r>
    </w:p>
    <w:p w14:paraId="6850A786"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29 января 2003 г. N Юн, 03-6/</w:t>
      </w:r>
      <w:proofErr w:type="spellStart"/>
      <w:r>
        <w:rPr>
          <w:rFonts w:ascii="Verdana" w:hAnsi="Verdana"/>
          <w:color w:val="000000"/>
          <w:sz w:val="18"/>
          <w:szCs w:val="18"/>
        </w:rPr>
        <w:t>пз</w:t>
      </w:r>
      <w:proofErr w:type="spellEnd"/>
      <w:r>
        <w:rPr>
          <w:rFonts w:ascii="Verdana" w:hAnsi="Verdana"/>
          <w:color w:val="000000"/>
          <w:sz w:val="18"/>
          <w:szCs w:val="18"/>
        </w:rPr>
        <w:t xml:space="preserve"> "Об утверждении </w:t>
      </w:r>
      <w:proofErr w:type="spellStart"/>
      <w:r>
        <w:rPr>
          <w:rFonts w:ascii="Verdana" w:hAnsi="Verdana"/>
          <w:color w:val="000000"/>
          <w:sz w:val="18"/>
          <w:szCs w:val="18"/>
        </w:rPr>
        <w:t>Порядкаj</w:t>
      </w:r>
      <w:proofErr w:type="spellEnd"/>
      <w:r>
        <w:rPr>
          <w:rFonts w:ascii="Verdana" w:hAnsi="Verdana"/>
          <w:color w:val="000000"/>
          <w:sz w:val="18"/>
          <w:szCs w:val="18"/>
        </w:rPr>
        <w:t xml:space="preserve">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7937BBD5"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Минюста РФ от 3 июля 1998 г. N 76 "О мерах по совершенствованию процедур обращения взыскания на имущество организаций"</w:t>
      </w:r>
    </w:p>
    <w:p w14:paraId="6A2DD9C1"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РФ от 20-декабря 1994 г. N 2204 "Об обеспечении правопорядка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по обязательствам за </w:t>
      </w:r>
      <w:proofErr w:type="gramStart"/>
      <w:r>
        <w:rPr>
          <w:rFonts w:ascii="Verdana" w:hAnsi="Verdana"/>
          <w:color w:val="000000"/>
          <w:sz w:val="18"/>
          <w:szCs w:val="18"/>
        </w:rPr>
        <w:t>почт ,</w:t>
      </w:r>
      <w:proofErr w:type="gramEnd"/>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 xml:space="preserve">товаров.(выполнение работ или оказание услуг)"(с изм. и </w:t>
      </w:r>
      <w:proofErr w:type="spellStart"/>
      <w:r>
        <w:rPr>
          <w:rFonts w:ascii="Verdana" w:hAnsi="Verdana"/>
          <w:color w:val="000000"/>
          <w:sz w:val="18"/>
          <w:szCs w:val="18"/>
        </w:rPr>
        <w:t>доп.от</w:t>
      </w:r>
      <w:proofErr w:type="spellEnd"/>
      <w:r>
        <w:rPr>
          <w:rFonts w:ascii="Verdana" w:hAnsi="Verdana"/>
          <w:color w:val="000000"/>
          <w:sz w:val="18"/>
          <w:szCs w:val="18"/>
        </w:rPr>
        <w:t xml:space="preserve"> 31 июля 1995 г.) (утратил силу).</w:t>
      </w:r>
    </w:p>
    <w:p w14:paraId="7C07B938"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Указание ЦБР от 13 ноября 1997 г. N 18-У "О введении в действие новой редакции методических рекомендаций о порядке оценки мероприятий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(планов санации), утвержденных письмом Банка России от 8.09.97 г. N 513".</w:t>
      </w:r>
    </w:p>
    <w:p w14:paraId="4F59A010" w14:textId="77777777" w:rsidR="00AF3CBF" w:rsidRDefault="00AF3CBF" w:rsidP="00AF3C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Федерации34</w:t>
      </w:r>
    </w:p>
    <w:p w14:paraId="0F6AB68E" w14:textId="0EF23407" w:rsidR="00343EFB" w:rsidRPr="00AF3CBF" w:rsidRDefault="00AF3CBF" w:rsidP="00AF3CBF">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AF3CB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17E0" w14:textId="77777777" w:rsidR="0028224F" w:rsidRDefault="0028224F">
      <w:pPr>
        <w:spacing w:after="0" w:line="240" w:lineRule="auto"/>
      </w:pPr>
      <w:r>
        <w:separator/>
      </w:r>
    </w:p>
  </w:endnote>
  <w:endnote w:type="continuationSeparator" w:id="0">
    <w:p w14:paraId="4C2DE507" w14:textId="77777777" w:rsidR="0028224F" w:rsidRDefault="0028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96DC" w14:textId="77777777" w:rsidR="0028224F" w:rsidRDefault="0028224F">
      <w:pPr>
        <w:spacing w:after="0" w:line="240" w:lineRule="auto"/>
      </w:pPr>
      <w:r>
        <w:separator/>
      </w:r>
    </w:p>
  </w:footnote>
  <w:footnote w:type="continuationSeparator" w:id="0">
    <w:p w14:paraId="70920D7A" w14:textId="77777777" w:rsidR="0028224F" w:rsidRDefault="00282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24F"/>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226B-E0D3-46E6-B913-17C2E9AF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11213</TotalTime>
  <Pages>5</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909</cp:revision>
  <cp:lastPrinted>2009-02-06T05:36:00Z</cp:lastPrinted>
  <dcterms:created xsi:type="dcterms:W3CDTF">2016-05-04T14:28:00Z</dcterms:created>
  <dcterms:modified xsi:type="dcterms:W3CDTF">2016-07-20T13:40:00Z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