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FB3D94" w:rsidRDefault="00FB3D94" w:rsidP="00FB3D94">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Социальная защита сотрудников правоохранительных органов: правовые вопросы</w:t>
      </w:r>
    </w:p>
    <w:p w:rsidR="00FB3D94" w:rsidRDefault="00FB3D94" w:rsidP="00FB3D94">
      <w:pPr>
        <w:spacing w:line="270" w:lineRule="atLeast"/>
        <w:rPr>
          <w:rFonts w:ascii="Verdana" w:hAnsi="Verdana"/>
          <w:b/>
          <w:bCs/>
          <w:color w:val="000000"/>
          <w:sz w:val="18"/>
          <w:szCs w:val="18"/>
        </w:rPr>
      </w:pPr>
      <w:r>
        <w:rPr>
          <w:rFonts w:ascii="Verdana" w:hAnsi="Verdana"/>
          <w:b/>
          <w:bCs/>
          <w:color w:val="000000"/>
          <w:sz w:val="18"/>
          <w:szCs w:val="18"/>
        </w:rPr>
        <w:t>Год: </w:t>
      </w:r>
    </w:p>
    <w:p w:rsidR="00FB3D94" w:rsidRDefault="00FB3D94" w:rsidP="00FB3D94">
      <w:pPr>
        <w:spacing w:line="270" w:lineRule="atLeast"/>
        <w:rPr>
          <w:rFonts w:ascii="Verdana" w:hAnsi="Verdana"/>
          <w:color w:val="000000"/>
          <w:sz w:val="18"/>
          <w:szCs w:val="18"/>
        </w:rPr>
      </w:pPr>
      <w:r>
        <w:rPr>
          <w:rFonts w:ascii="Verdana" w:hAnsi="Verdana"/>
          <w:color w:val="000000"/>
          <w:sz w:val="18"/>
          <w:szCs w:val="18"/>
        </w:rPr>
        <w:t>2006</w:t>
      </w:r>
    </w:p>
    <w:p w:rsidR="00FB3D94" w:rsidRDefault="00FB3D94" w:rsidP="00FB3D9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B3D94" w:rsidRDefault="00FB3D94" w:rsidP="00FB3D94">
      <w:pPr>
        <w:spacing w:line="270" w:lineRule="atLeast"/>
        <w:rPr>
          <w:rFonts w:ascii="Verdana" w:hAnsi="Verdana"/>
          <w:color w:val="000000"/>
          <w:sz w:val="18"/>
          <w:szCs w:val="18"/>
        </w:rPr>
      </w:pPr>
      <w:r>
        <w:rPr>
          <w:rFonts w:ascii="Verdana" w:hAnsi="Verdana"/>
          <w:color w:val="000000"/>
          <w:sz w:val="18"/>
          <w:szCs w:val="18"/>
        </w:rPr>
        <w:t>Дресвянкин, Денис Сергеевич</w:t>
      </w:r>
    </w:p>
    <w:p w:rsidR="00FB3D94" w:rsidRDefault="00FB3D94" w:rsidP="00FB3D9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B3D94" w:rsidRDefault="00FB3D94" w:rsidP="00FB3D9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B3D94" w:rsidRDefault="00FB3D94" w:rsidP="00FB3D9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B3D94" w:rsidRDefault="00FB3D94" w:rsidP="00FB3D94">
      <w:pPr>
        <w:spacing w:line="270" w:lineRule="atLeast"/>
        <w:rPr>
          <w:rFonts w:ascii="Verdana" w:hAnsi="Verdana"/>
          <w:color w:val="000000"/>
          <w:sz w:val="18"/>
          <w:szCs w:val="18"/>
        </w:rPr>
      </w:pPr>
      <w:r>
        <w:rPr>
          <w:rFonts w:ascii="Verdana" w:hAnsi="Verdana"/>
          <w:color w:val="000000"/>
          <w:sz w:val="18"/>
          <w:szCs w:val="18"/>
        </w:rPr>
        <w:t>Екатеринбург</w:t>
      </w:r>
    </w:p>
    <w:p w:rsidR="00FB3D94" w:rsidRDefault="00FB3D94" w:rsidP="00FB3D9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B3D94" w:rsidRDefault="00FB3D94" w:rsidP="00FB3D94">
      <w:pPr>
        <w:spacing w:line="270" w:lineRule="atLeast"/>
        <w:rPr>
          <w:rFonts w:ascii="Verdana" w:hAnsi="Verdana"/>
          <w:color w:val="000000"/>
          <w:sz w:val="18"/>
          <w:szCs w:val="18"/>
        </w:rPr>
      </w:pPr>
      <w:r>
        <w:rPr>
          <w:rFonts w:ascii="Verdana" w:hAnsi="Verdana"/>
          <w:color w:val="000000"/>
          <w:sz w:val="18"/>
          <w:szCs w:val="18"/>
        </w:rPr>
        <w:t>12.00.05</w:t>
      </w:r>
    </w:p>
    <w:p w:rsidR="00FB3D94" w:rsidRDefault="00FB3D94" w:rsidP="00FB3D9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B3D94" w:rsidRDefault="00FB3D94" w:rsidP="00FB3D94">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FB3D94" w:rsidRDefault="00FB3D94" w:rsidP="00FB3D9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B3D94" w:rsidRDefault="00FB3D94" w:rsidP="00FB3D94">
      <w:pPr>
        <w:spacing w:line="270" w:lineRule="atLeast"/>
        <w:rPr>
          <w:rFonts w:ascii="Verdana" w:hAnsi="Verdana"/>
          <w:color w:val="000000"/>
          <w:sz w:val="18"/>
          <w:szCs w:val="18"/>
        </w:rPr>
      </w:pPr>
      <w:r>
        <w:rPr>
          <w:rFonts w:ascii="Verdana" w:hAnsi="Verdana"/>
          <w:color w:val="000000"/>
          <w:sz w:val="18"/>
          <w:szCs w:val="18"/>
        </w:rPr>
        <w:t>208</w:t>
      </w:r>
    </w:p>
    <w:p w:rsidR="00FB3D94" w:rsidRDefault="00FB3D94" w:rsidP="00FB3D9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Дресвянкин, Денис Сергеевич</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социальной защиты</w:t>
      </w:r>
      <w:r>
        <w:rPr>
          <w:rStyle w:val="WW8Num3z0"/>
          <w:rFonts w:ascii="Verdana" w:hAnsi="Verdana"/>
          <w:color w:val="000000"/>
          <w:sz w:val="18"/>
          <w:szCs w:val="18"/>
        </w:rPr>
        <w:t> </w:t>
      </w:r>
      <w:r>
        <w:rPr>
          <w:rStyle w:val="WW8Num4z0"/>
          <w:rFonts w:ascii="Verdana" w:hAnsi="Verdana"/>
          <w:color w:val="4682B4"/>
          <w:sz w:val="18"/>
          <w:szCs w:val="18"/>
        </w:rPr>
        <w:t>сотрудников</w:t>
      </w:r>
      <w:r>
        <w:rPr>
          <w:rStyle w:val="WW8Num3z0"/>
          <w:rFonts w:ascii="Verdana" w:hAnsi="Verdana"/>
          <w:color w:val="000000"/>
          <w:sz w:val="18"/>
          <w:szCs w:val="18"/>
        </w:rPr>
        <w:t> </w:t>
      </w:r>
      <w:r>
        <w:rPr>
          <w:rFonts w:ascii="Verdana" w:hAnsi="Verdana"/>
          <w:color w:val="000000"/>
          <w:sz w:val="18"/>
          <w:szCs w:val="18"/>
        </w:rPr>
        <w:t>правоохранительных органов и ее нормативно-правовая основа.</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социальной защиты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Система нормативных правовых актов о социальной защите сотрудников правоохранительных</w:t>
      </w:r>
      <w:r>
        <w:rPr>
          <w:rStyle w:val="WW8Num3z0"/>
          <w:rFonts w:ascii="Verdana" w:hAnsi="Verdana"/>
          <w:color w:val="000000"/>
          <w:sz w:val="18"/>
          <w:szCs w:val="18"/>
        </w:rPr>
        <w:t> </w:t>
      </w:r>
      <w:r>
        <w:rPr>
          <w:rStyle w:val="WW8Num4z0"/>
          <w:rFonts w:ascii="Verdana" w:hAnsi="Verdana"/>
          <w:color w:val="4682B4"/>
          <w:sz w:val="18"/>
          <w:szCs w:val="18"/>
        </w:rPr>
        <w:t>органов</w:t>
      </w:r>
      <w:r>
        <w:rPr>
          <w:rFonts w:ascii="Verdana" w:hAnsi="Verdana"/>
          <w:color w:val="000000"/>
          <w:sz w:val="18"/>
          <w:szCs w:val="18"/>
        </w:rPr>
        <w:t>.</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Правовое регулирование отдельных видов социальной защиты сотрудников правоохранительных органов.</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Охрана здоровья.</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Вопросы</w:t>
      </w:r>
      <w:r>
        <w:rPr>
          <w:rStyle w:val="WW8Num3z0"/>
          <w:rFonts w:ascii="Verdana" w:hAnsi="Verdana"/>
          <w:color w:val="000000"/>
          <w:sz w:val="18"/>
          <w:szCs w:val="18"/>
        </w:rPr>
        <w:t> </w:t>
      </w:r>
      <w:r>
        <w:rPr>
          <w:rFonts w:ascii="Verdana" w:hAnsi="Verdana"/>
          <w:color w:val="000000"/>
          <w:sz w:val="18"/>
          <w:szCs w:val="18"/>
        </w:rPr>
        <w:t>денежного довольствия.</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3. Пенсионное обеспечение.</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Особенности социальной защиты женщин - сотрудников правоохранительных органов.</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Вопросы социальной защиты членов семей сотрудников правоохранительных органов.</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Особенности социальной поддержки сотрудников правоохранительных органов.</w:t>
      </w:r>
    </w:p>
    <w:p w:rsidR="00FB3D94" w:rsidRDefault="00FB3D94" w:rsidP="00FB3D9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"Социальная защита сотрудников правоохранительных органов: правовые вопросы"</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играют важную роль в механизме современного Российского государства. От эффективности их деятельности во многом зависят уровень</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в стране, безопасность</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степень защиты их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В свою очередь, эффективность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находится в прямой зависимости от уровня социальной защиты их сотрудников и членов семей сотрудников. Однако как показывает статистика, в настоящее время уровень социальной защиты сотрудников правоохранительных органов и членов их семей ещё далек от необходимого. По утверждению Г.Гудкова -члена Комитета Государственной Думы по безопасности, для того, чтобы сотрудники правоохранительных органов могли достойно прожить, им нужно в среднем платить 750 долларов в месяц. Если исходить из того, что число сотрудников силовых структур составляет 4,5 миллиона человек, то им только на денежное довольствие потребуется 36 миллиардов долларов в год. По данным же Минфина России фактически на денежное содержание правоохранительных органов и военнослужащих выделяется 241 миллиард рублей в год, что составляет менее четверти необходимого1.</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Более поздние цифры сообщил министр внутренних дел РФ Р. Нургалиев. По его словам, с 1 января 2006г. денежное довольствие офицеров-сотрудников и военнослужащих составляет в среднем 10000 рублей в месяц, а рядовых милиционеров - 7400 руб. в месяц. С 1 января 2006г. средний размер пенсии за выслугу лет составляет 4000 руб. в месяц .</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Специфика</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службы, в том числе ограничения на службе, требует обеспечения сотрудников не только денежным довольствием. Важное значение имеют охрана здоровья, в том числе медицинская помощь, лекарственное обеспечение, санаторно-курортное</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Ольховский М. Слишком много начальников // Рос. газ. 2004. 9 декабря.</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Фалалеев М. Милиционерам повысят зарплату // Рос. газ. 2006. 14 апр. лечение и отдых сотрудников и членов их семей, содержание детей сотрудников в детских дошкольных учреждениях, социально-бытовое обеспечение сотрудников и их семей, пенсионное обеспечение, другие меры социальной защиты.</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Весьма обширной и противоречивой является нормативная база социальной защиты сотрудников правоохранительных органов. Отсутствуют федеральные законы о службе в правоохранительных органах, о социальной защите сотрудников и членов их семей. Закон РФ от 12 февраля 1993г.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учреждениях и органах уголовно-исполнительной системы, и их семей»1 (далее - Закон РФ от 12 февраля 1993г.) в значительной части устарел, множество актов, в том числе</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Fonts w:ascii="Verdana" w:hAnsi="Verdana"/>
          <w:color w:val="000000"/>
          <w:sz w:val="18"/>
          <w:szCs w:val="18"/>
        </w:rPr>
        <w:t>, и особенно ведомственных, издано по вопросам денежного довольствия сотрудников.</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сказанное выше обусловило актуальность темы настоящей диссертации и определило ее выбор.</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Вопросы социальной защиты сотрудников правоохранительных органов исследовались в диссертационных работах отдельных авторов . Однако в этих работах затронуты лишь отдельные аспекты данной темы и ее анализ нельзя считать завершенным.</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диссертации. Целью диссертации является комплексное исследование правовых вопросов социальной защиты сотрудников правоохранительных органов, а также разработка предложений по совершенствованию соответствующего законодательства и практики его</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Ведомости</w:t>
      </w:r>
      <w:r>
        <w:rPr>
          <w:rFonts w:ascii="Verdana" w:hAnsi="Verdana"/>
          <w:color w:val="000000"/>
          <w:sz w:val="18"/>
          <w:szCs w:val="18"/>
        </w:rPr>
        <w:t>. 1993. №9. Ст. 328.</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Концеладзе</w:t>
      </w:r>
      <w:r>
        <w:rPr>
          <w:rStyle w:val="WW8Num3z0"/>
          <w:rFonts w:ascii="Verdana" w:hAnsi="Verdana"/>
          <w:color w:val="000000"/>
          <w:sz w:val="18"/>
          <w:szCs w:val="18"/>
        </w:rPr>
        <w:t> </w:t>
      </w:r>
      <w:r>
        <w:rPr>
          <w:rFonts w:ascii="Verdana" w:hAnsi="Verdana"/>
          <w:color w:val="000000"/>
          <w:sz w:val="18"/>
          <w:szCs w:val="18"/>
        </w:rPr>
        <w:t>Р. У. Правовая и социальная защита сотрудников</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Дис. канд. юрид. наук. М., 1993;</w:t>
      </w:r>
      <w:r>
        <w:rPr>
          <w:rStyle w:val="WW8Num3z0"/>
          <w:rFonts w:ascii="Verdana" w:hAnsi="Verdana"/>
          <w:color w:val="000000"/>
          <w:sz w:val="18"/>
          <w:szCs w:val="18"/>
        </w:rPr>
        <w:t> </w:t>
      </w:r>
      <w:r>
        <w:rPr>
          <w:rStyle w:val="WW8Num4z0"/>
          <w:rFonts w:ascii="Verdana" w:hAnsi="Verdana"/>
          <w:color w:val="4682B4"/>
          <w:sz w:val="18"/>
          <w:szCs w:val="18"/>
        </w:rPr>
        <w:t>Крупно</w:t>
      </w:r>
      <w:r>
        <w:rPr>
          <w:rStyle w:val="WW8Num3z0"/>
          <w:rFonts w:ascii="Verdana" w:hAnsi="Verdana"/>
          <w:color w:val="000000"/>
          <w:sz w:val="18"/>
          <w:szCs w:val="18"/>
        </w:rPr>
        <w:t> </w:t>
      </w:r>
      <w:r>
        <w:rPr>
          <w:rFonts w:ascii="Verdana" w:hAnsi="Verdana"/>
          <w:color w:val="000000"/>
          <w:sz w:val="18"/>
          <w:szCs w:val="18"/>
        </w:rPr>
        <w:t>С. М. Правовая и социальная защита сотрудников органов внутренних дел: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2001; Наймушин С. В. Пенсионное обеспечение работников правоохранительных органов (правовые вопросы): Дис. канд. юрид. наук. Екатеринбург, 2002. применения. Достижение этой цели осуществлено через решение следующих задач:</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понятие социальной защиты сотрудников правоохранительных органов;</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систему нормативных правовых актов о социальной защите сотрудников правоохранительных органов;</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анализ правовых вопросов денежного довольствия сотрудников правоохранительных органов; изучить правовые вопросы охраны здоровья сотрудников правоохранительных органов;</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основные вопросы пенсионного обеспечения сотрудников правоохранительных органов;</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особенности социальной защиты женщин - сотрудников правоохранительных органов;</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вопросы социальной защиты членов семей сотрудников правоохранительных органов;</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основные особенности социальной поддержки сотрудников правоохранительных органов.</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Объект и предмет исследования. Объектом исследования является правовое регулирование социальной защиты сотрудников правоохранительных органов. Предмет исследования составляют общие вопросы социальной защиты сотрудников правоохранительных органов, а также предоставление им отдельных мер социальной защиты.</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 методы исследования.</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подготовлена с использованием диалектико-материалистического метода исследования, общенаучных методов (индукции и дедукции, анализа и синтеза и др.), а также частных методов (сравнительно-правового, системного, формально-юридического и др.).</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диссертации составляют работы советских, российских ученых по теории государства и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М.Н.</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Марченко, В.Д.</w:t>
      </w:r>
      <w:r>
        <w:rPr>
          <w:rStyle w:val="WW8Num3z0"/>
          <w:rFonts w:ascii="Verdana" w:hAnsi="Verdana"/>
          <w:color w:val="000000"/>
          <w:sz w:val="18"/>
          <w:szCs w:val="18"/>
        </w:rPr>
        <w:t> </w:t>
      </w:r>
      <w:r>
        <w:rPr>
          <w:rStyle w:val="WW8Num4z0"/>
          <w:rFonts w:ascii="Verdana" w:hAnsi="Verdana"/>
          <w:color w:val="4682B4"/>
          <w:sz w:val="18"/>
          <w:szCs w:val="18"/>
        </w:rPr>
        <w:t>Перевалова</w:t>
      </w:r>
      <w:r>
        <w:rPr>
          <w:rStyle w:val="WW8Num3z0"/>
          <w:rFonts w:ascii="Verdana" w:hAnsi="Verdana"/>
          <w:color w:val="000000"/>
          <w:sz w:val="18"/>
          <w:szCs w:val="18"/>
        </w:rPr>
        <w:t> </w:t>
      </w:r>
      <w:r>
        <w:rPr>
          <w:rFonts w:ascii="Verdana" w:hAnsi="Verdana"/>
          <w:color w:val="000000"/>
          <w:sz w:val="18"/>
          <w:szCs w:val="18"/>
        </w:rPr>
        <w:t>и др.), конституционному праву (А.Н.</w:t>
      </w:r>
      <w:r>
        <w:rPr>
          <w:rStyle w:val="WW8Num3z0"/>
          <w:rFonts w:ascii="Verdana" w:hAnsi="Verdana"/>
          <w:color w:val="000000"/>
          <w:sz w:val="18"/>
          <w:szCs w:val="18"/>
        </w:rPr>
        <w:t> </w:t>
      </w:r>
      <w:r>
        <w:rPr>
          <w:rStyle w:val="WW8Num4z0"/>
          <w:rFonts w:ascii="Verdana" w:hAnsi="Verdana"/>
          <w:color w:val="4682B4"/>
          <w:sz w:val="18"/>
          <w:szCs w:val="18"/>
        </w:rPr>
        <w:t>Кокотова</w:t>
      </w:r>
      <w:r>
        <w:rPr>
          <w:rFonts w:ascii="Verdana" w:hAnsi="Verdana"/>
          <w:color w:val="000000"/>
          <w:sz w:val="18"/>
          <w:szCs w:val="18"/>
        </w:rPr>
        <w:t>, М.И. Кукушкина, С.Э. Несмеяновой, А.Н.</w:t>
      </w:r>
      <w:r>
        <w:rPr>
          <w:rStyle w:val="WW8Num3z0"/>
          <w:rFonts w:ascii="Verdana" w:hAnsi="Verdana"/>
          <w:color w:val="000000"/>
          <w:sz w:val="18"/>
          <w:szCs w:val="18"/>
        </w:rPr>
        <w:t> </w:t>
      </w:r>
      <w:r>
        <w:rPr>
          <w:rStyle w:val="WW8Num4z0"/>
          <w:rFonts w:ascii="Verdana" w:hAnsi="Verdana"/>
          <w:color w:val="4682B4"/>
          <w:sz w:val="18"/>
          <w:szCs w:val="18"/>
        </w:rPr>
        <w:t>Сагиндыковой</w:t>
      </w:r>
      <w:r>
        <w:rPr>
          <w:rFonts w:ascii="Verdana" w:hAnsi="Verdana"/>
          <w:color w:val="000000"/>
          <w:sz w:val="18"/>
          <w:szCs w:val="18"/>
        </w:rPr>
        <w:t>, М.С. Саликова и др.),</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Style w:val="WW8Num3z0"/>
          <w:rFonts w:ascii="Verdana" w:hAnsi="Verdana"/>
          <w:color w:val="000000"/>
          <w:sz w:val="18"/>
          <w:szCs w:val="18"/>
        </w:rPr>
        <w:t> </w:t>
      </w:r>
      <w:r>
        <w:rPr>
          <w:rFonts w:ascii="Verdana" w:hAnsi="Verdana"/>
          <w:color w:val="000000"/>
          <w:sz w:val="18"/>
          <w:szCs w:val="18"/>
        </w:rPr>
        <w:t>праву (Д.Н. Бахраха, К.С.</w:t>
      </w:r>
      <w:r>
        <w:rPr>
          <w:rStyle w:val="WW8Num3z0"/>
          <w:rFonts w:ascii="Verdana" w:hAnsi="Verdana"/>
          <w:color w:val="000000"/>
          <w:sz w:val="18"/>
          <w:szCs w:val="18"/>
        </w:rPr>
        <w:t> </w:t>
      </w:r>
      <w:r>
        <w:rPr>
          <w:rStyle w:val="WW8Num4z0"/>
          <w:rFonts w:ascii="Verdana" w:hAnsi="Verdana"/>
          <w:color w:val="4682B4"/>
          <w:sz w:val="18"/>
          <w:szCs w:val="18"/>
        </w:rPr>
        <w:t>Вельского</w:t>
      </w:r>
      <w:r>
        <w:rPr>
          <w:rFonts w:ascii="Verdana" w:hAnsi="Verdana"/>
          <w:color w:val="000000"/>
          <w:sz w:val="18"/>
          <w:szCs w:val="18"/>
        </w:rPr>
        <w:t>, В.П. Новоселова и др.), трудовому праву и праву социального обеспечения (В.А.</w:t>
      </w:r>
      <w:r>
        <w:rPr>
          <w:rStyle w:val="WW8Num3z0"/>
          <w:rFonts w:ascii="Verdana" w:hAnsi="Verdana"/>
          <w:color w:val="000000"/>
          <w:sz w:val="18"/>
          <w:szCs w:val="18"/>
        </w:rPr>
        <w:t> </w:t>
      </w:r>
      <w:r>
        <w:rPr>
          <w:rStyle w:val="WW8Num4z0"/>
          <w:rFonts w:ascii="Verdana" w:hAnsi="Verdana"/>
          <w:color w:val="4682B4"/>
          <w:sz w:val="18"/>
          <w:szCs w:val="18"/>
        </w:rPr>
        <w:t>Аракчеева</w:t>
      </w:r>
      <w:r>
        <w:rPr>
          <w:rFonts w:ascii="Verdana" w:hAnsi="Verdana"/>
          <w:color w:val="000000"/>
          <w:sz w:val="18"/>
          <w:szCs w:val="18"/>
        </w:rPr>
        <w:t>, К.С. Батыгина, A.JT. Благодир,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М.О. Буяновой, С.Ю. Головиной,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M.JI. Захарова, Т.В. Иванкиной, Р.И. Ивановой,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A.M. Лушникова, С.П. Маврина, Е.Е.</w:t>
      </w:r>
      <w:r>
        <w:rPr>
          <w:rStyle w:val="WW8Num3z0"/>
          <w:rFonts w:ascii="Verdana" w:hAnsi="Verdana"/>
          <w:color w:val="000000"/>
          <w:sz w:val="18"/>
          <w:szCs w:val="18"/>
        </w:rPr>
        <w:t> </w:t>
      </w:r>
      <w:r>
        <w:rPr>
          <w:rStyle w:val="WW8Num4z0"/>
          <w:rFonts w:ascii="Verdana" w:hAnsi="Verdana"/>
          <w:color w:val="4682B4"/>
          <w:sz w:val="18"/>
          <w:szCs w:val="18"/>
        </w:rPr>
        <w:t>Мачульской</w:t>
      </w:r>
      <w:r>
        <w:rPr>
          <w:rFonts w:ascii="Verdana" w:hAnsi="Verdana"/>
          <w:color w:val="000000"/>
          <w:sz w:val="18"/>
          <w:szCs w:val="18"/>
        </w:rPr>
        <w:t>, М.В. Молодцова, С.В. Наймушина, Т.А.</w:t>
      </w:r>
      <w:r>
        <w:rPr>
          <w:rStyle w:val="WW8Num3z0"/>
          <w:rFonts w:ascii="Verdana" w:hAnsi="Verdana"/>
          <w:color w:val="000000"/>
          <w:sz w:val="18"/>
          <w:szCs w:val="18"/>
        </w:rPr>
        <w:t> </w:t>
      </w:r>
      <w:r>
        <w:rPr>
          <w:rStyle w:val="WW8Num4z0"/>
          <w:rFonts w:ascii="Verdana" w:hAnsi="Verdana"/>
          <w:color w:val="4682B4"/>
          <w:sz w:val="18"/>
          <w:szCs w:val="18"/>
        </w:rPr>
        <w:t>Нестеровой</w:t>
      </w:r>
      <w:r>
        <w:rPr>
          <w:rFonts w:ascii="Verdana" w:hAnsi="Verdana"/>
          <w:color w:val="000000"/>
          <w:sz w:val="18"/>
          <w:szCs w:val="18"/>
        </w:rPr>
        <w:t>, В.И. Попова, Э.Г. Тучковой, Н.М.</w:t>
      </w:r>
      <w:r>
        <w:rPr>
          <w:rStyle w:val="WW8Num3z0"/>
          <w:rFonts w:ascii="Verdana" w:hAnsi="Verdana"/>
          <w:color w:val="000000"/>
          <w:sz w:val="18"/>
          <w:szCs w:val="18"/>
        </w:rPr>
        <w:t> </w:t>
      </w:r>
      <w:r>
        <w:rPr>
          <w:rStyle w:val="WW8Num4z0"/>
          <w:rFonts w:ascii="Verdana" w:hAnsi="Verdana"/>
          <w:color w:val="4682B4"/>
          <w:sz w:val="18"/>
          <w:szCs w:val="18"/>
        </w:rPr>
        <w:t>Садиковой</w:t>
      </w:r>
      <w:r>
        <w:rPr>
          <w:rFonts w:ascii="Verdana" w:hAnsi="Verdana"/>
          <w:color w:val="000000"/>
          <w:sz w:val="18"/>
          <w:szCs w:val="18"/>
        </w:rPr>
        <w:t>, М.Ю. Федоровой, Е.Б.Хохлова, Л.А.</w:t>
      </w:r>
      <w:r>
        <w:rPr>
          <w:rStyle w:val="WW8Num3z0"/>
          <w:rFonts w:ascii="Verdana" w:hAnsi="Verdana"/>
          <w:color w:val="000000"/>
          <w:sz w:val="18"/>
          <w:szCs w:val="18"/>
        </w:rPr>
        <w:t> </w:t>
      </w:r>
      <w:r>
        <w:rPr>
          <w:rStyle w:val="WW8Num4z0"/>
          <w:rFonts w:ascii="Verdana" w:hAnsi="Verdana"/>
          <w:color w:val="4682B4"/>
          <w:sz w:val="18"/>
          <w:szCs w:val="18"/>
        </w:rPr>
        <w:t>Чикановой</w:t>
      </w:r>
      <w:r>
        <w:rPr>
          <w:rFonts w:ascii="Verdana" w:hAnsi="Verdana"/>
          <w:color w:val="000000"/>
          <w:sz w:val="18"/>
          <w:szCs w:val="18"/>
        </w:rPr>
        <w:t>, И.П. Чикиревой, В.Ш. Шайхатдинова, Г.Х.</w:t>
      </w:r>
      <w:r>
        <w:rPr>
          <w:rStyle w:val="WW8Num3z0"/>
          <w:rFonts w:ascii="Verdana" w:hAnsi="Verdana"/>
          <w:color w:val="000000"/>
          <w:sz w:val="18"/>
          <w:szCs w:val="18"/>
        </w:rPr>
        <w:t> </w:t>
      </w:r>
      <w:r>
        <w:rPr>
          <w:rStyle w:val="WW8Num4z0"/>
          <w:rFonts w:ascii="Verdana" w:hAnsi="Verdana"/>
          <w:color w:val="4682B4"/>
          <w:sz w:val="18"/>
          <w:szCs w:val="18"/>
        </w:rPr>
        <w:t>Шафиковой</w:t>
      </w:r>
      <w:r>
        <w:rPr>
          <w:rStyle w:val="WW8Num3z0"/>
          <w:rFonts w:ascii="Verdana" w:hAnsi="Verdana"/>
          <w:color w:val="000000"/>
          <w:sz w:val="18"/>
          <w:szCs w:val="18"/>
        </w:rPr>
        <w:t> </w:t>
      </w:r>
      <w:r>
        <w:rPr>
          <w:rFonts w:ascii="Verdana" w:hAnsi="Verdana"/>
          <w:color w:val="000000"/>
          <w:sz w:val="18"/>
          <w:szCs w:val="18"/>
        </w:rPr>
        <w:t>и</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ДР-)</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Информационная основа работы. Работа основана на положениях международно-правовых актов о правах человека, российских нормативных правовых актов, научной и учебной литературе, материалах практики, статистических данных.</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основа исследования. Эмпирической основой исследования явились материалы деятельности Главного управления внутренних дел Свердловской области, Уральского</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управления, Управления Федеральной службы по контролю за оборотом наркотиков по Свердловской области, решения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а также решения Конституционного Суда РФ.</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Научная новизна диссертации заключается в том, что она является первым в российской юридической науке комплексным исследованием вопросов правового регулирования социальной защиты сотрудников правоохранительных органов в современный период.</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проявляется в следующих положениях, выносимых на защиту.</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Обоснованы основные признаки социальной защиты сотрудников правоохранительных органов. Во-первых, она включает отношения между сотрудниками (а в ряде случаев - и (или) членами их семей), с одной стороны, и государственными органами,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учреждениями, организациями, с другой. Во-вторых, она призвана обеспечить нормальные условия</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 сотрудников, а также компенсацию повышенных психологических и физических нагрузок,</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ограничений и неблагоприятных последствий наступления социальных случаев,</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необходимость социальной защиты. В-третьих, социальная защита сотрудников осуществляется за счет специальных финансовых источников. В-четвертых, осуществление социальной защиты производится на основе соответствующих нормативных правовых актов. В-пятых, мерами социальной защиты выступают денежные выплаты, натуральное обеспечение, услуги.</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Сформулировано определение понятия социальной защиты сотрудников правоохранительных органов. Социальная защита сотрудников правоохранительных органов - это система правовых отношений, которые возникают между сотрудниками правоохранительных органов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 xml:space="preserve">органами, другими субъектами права, по поводу предоставления сотрудникам и (или) членам их семей на основе нормативных правовых актов и из средств федерального бюджета, а также других источников, денежных выплат, натурального обеспечения и услуг при наступлении социальных случаев, влекущих необходимость их социальной защиты, с целью обеспечения нормальной служебной деятельности сотрудников, а также компенсации </w:t>
      </w:r>
      <w:r>
        <w:rPr>
          <w:rFonts w:ascii="Verdana" w:hAnsi="Verdana"/>
          <w:color w:val="000000"/>
          <w:sz w:val="18"/>
          <w:szCs w:val="18"/>
        </w:rPr>
        <w:lastRenderedPageBreak/>
        <w:t>повышенных психологических и физических нагрузок, служебных ограничений и неблагоприятных последствий наступления социальных случаев.</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Изучено соотношение социальной защиты сотрудников правоохранительных органов с такими смежными понятиями как « социальное обеспечение», «социальные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w:t>
      </w:r>
      <w:r>
        <w:rPr>
          <w:rStyle w:val="WW8Num4z0"/>
          <w:rFonts w:ascii="Verdana" w:hAnsi="Verdana"/>
          <w:color w:val="4682B4"/>
          <w:sz w:val="18"/>
          <w:szCs w:val="18"/>
        </w:rPr>
        <w:t>правовые гарантии</w:t>
      </w:r>
      <w:r>
        <w:rPr>
          <w:rFonts w:ascii="Verdana" w:hAnsi="Verdana"/>
          <w:color w:val="000000"/>
          <w:sz w:val="18"/>
          <w:szCs w:val="18"/>
        </w:rPr>
        <w:t>». Социальное обеспечение является частью социальной защиты и предоставляется преимущественно тогда, когда сотрудники временно (по причине болезни, травмы, уходу за заболевшими членами семьи, отпуска по беременности и родам, по уходу за ребенком и т.д.) не могут исполнять</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обязанности (медицинская помощь, пособия по временной нетрудоспособности, по беременности и родам, по уходу за ребенком и др.), или прекратили служебные отношения по выслуге лет, инвалидности, в связи со смертью (пенсионное обеспечение, социальная поддержка, социальное обслуживание и др.). В то же время в социальное обеспечение не входят такие меры социальной защиты как денежное довольствие, вещевое и продовольственное обеспечение,</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причиненного жизни или здоровью сотрудников, обеспечение их жилыми помещениями и т.д. Социальные гарантии выступают как виды социальной защиты сотрудников либо как виды их социального обеспечения. Правовые же гарантии представляют собой виды их правовой защиты.</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Исследован вопрос об отраслевой принадлежности правовых норм, регулирующих социальную защиту сотрудников правоохранительных органов, и соответствующих правовых отношений. Доказывается, что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охране труда и денежному довольствию находятся под воздействием</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трудового права. То же можно сказать и о</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по вещевому и продовольственному обеспечению. Правоотношения по социально-бытовому обеспечению тяготеют к гражданскому праву и праву социального обеспечения. Правоотношения по предоставлению выплат и компенсаций увольняемым сотрудникам являются</w:t>
      </w:r>
      <w:r>
        <w:rPr>
          <w:rStyle w:val="WW8Num3z0"/>
          <w:rFonts w:ascii="Verdana" w:hAnsi="Verdana"/>
          <w:color w:val="000000"/>
          <w:sz w:val="18"/>
          <w:szCs w:val="18"/>
        </w:rPr>
        <w:t> </w:t>
      </w:r>
      <w:r>
        <w:rPr>
          <w:rStyle w:val="WW8Num4z0"/>
          <w:rFonts w:ascii="Verdana" w:hAnsi="Verdana"/>
          <w:color w:val="4682B4"/>
          <w:sz w:val="18"/>
          <w:szCs w:val="18"/>
        </w:rPr>
        <w:t>административными</w:t>
      </w:r>
      <w:r>
        <w:rPr>
          <w:rStyle w:val="WW8Num3z0"/>
          <w:rFonts w:ascii="Verdana" w:hAnsi="Verdana"/>
          <w:color w:val="000000"/>
          <w:sz w:val="18"/>
          <w:szCs w:val="18"/>
        </w:rPr>
        <w:t> </w:t>
      </w:r>
      <w:r>
        <w:rPr>
          <w:rFonts w:ascii="Verdana" w:hAnsi="Verdana"/>
          <w:color w:val="000000"/>
          <w:sz w:val="18"/>
          <w:szCs w:val="18"/>
        </w:rPr>
        <w:t>и трудовыми, а правоотношения по социально-бытовому обслуживанию - гражданско-правовыми и социально-обеспечительными. Пенсионное обеспечение и медицинская помощь, социальное обслуживание и социальная поддержка, обеспечение социальными пособиями регулируются нормами права социального обеспечения, а возмещение</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жизни и здоровью сотрудников правоохранительных органов - нормами гражданского права.</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Осуществлен анализ основных федеральных законов (законов РФ) о правоохранительной службе. Установлено, что, как правило, в этих актах недостаточно полно</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положения о социальной защите сотрудников правоохранительных органов. В связи с этим предлагается разработать и принять федеральный закон о социальной защите сотрудников правоохранительных органов и членов их семей.</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Исследованы правовые источники об охране здоровья сотрудников правоохранительных органов, выявлены их недостатки и обоснованы предложения по их совершенствованию. В частности, предложено принять Федеральный закон «</w:t>
      </w:r>
      <w:r>
        <w:rPr>
          <w:rStyle w:val="WW8Num4z0"/>
          <w:rFonts w:ascii="Verdana" w:hAnsi="Verdana"/>
          <w:color w:val="4682B4"/>
          <w:sz w:val="18"/>
          <w:szCs w:val="18"/>
        </w:rPr>
        <w:t>Об охране здоровья сотрудников правоохранительных органов и членов их семей</w:t>
      </w:r>
      <w:r>
        <w:rPr>
          <w:rFonts w:ascii="Verdana" w:hAnsi="Verdana"/>
          <w:color w:val="000000"/>
          <w:sz w:val="18"/>
          <w:szCs w:val="18"/>
        </w:rPr>
        <w:t>».</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Выявлены признаки денежного довольствия сотрудников правоохранительных органов, исследовано его соотношение с заработной платой, денежным содержанием гражданских служащих, обоснованы предложения по совершенствованию законодательства о денежном довольствии сотрудников правоохранительных органов.</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Анализируется содержание Закона РФ от 12 февраля 1993г.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w:t>
      </w:r>
      <w:r>
        <w:rPr>
          <w:rStyle w:val="WW8Num3z0"/>
          <w:rFonts w:ascii="Verdana" w:hAnsi="Verdana"/>
          <w:color w:val="000000"/>
          <w:sz w:val="18"/>
          <w:szCs w:val="18"/>
        </w:rPr>
        <w:t> </w:t>
      </w:r>
      <w:r>
        <w:rPr>
          <w:rStyle w:val="WW8Num4z0"/>
          <w:rFonts w:ascii="Verdana" w:hAnsi="Verdana"/>
          <w:color w:val="4682B4"/>
          <w:sz w:val="18"/>
          <w:szCs w:val="18"/>
        </w:rPr>
        <w:t>психотропных</w:t>
      </w:r>
      <w:r>
        <w:rPr>
          <w:rStyle w:val="WW8Num3z0"/>
          <w:rFonts w:ascii="Verdana" w:hAnsi="Verdana"/>
          <w:color w:val="000000"/>
          <w:sz w:val="18"/>
          <w:szCs w:val="18"/>
        </w:rPr>
        <w:t> </w:t>
      </w:r>
      <w:r>
        <w:rPr>
          <w:rFonts w:ascii="Verdana" w:hAnsi="Verdana"/>
          <w:color w:val="000000"/>
          <w:sz w:val="18"/>
          <w:szCs w:val="18"/>
        </w:rPr>
        <w:t>веществ, учреждениях и органах уголовно-исполнительной системы, и их семей» с учетом изменений в российском пенсионном законодательстве за последние годы, а также решений</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по вопросам пенсионного обеспечения сотрудников правоохранительных органов. Обоснованы предложения по внесению изменений и дополнений в ряд статей Закона РФ от 12 февраля 1993г. (п. «а» ст. 1, часть вторую ст. 2, ст. 6, ст. 18, 41,46, 51,61 и др.).</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9. Исследованы особенности социальной защиты женщин-сотрудников правоохранительных органов. Установлено, что акты о правоохранительной службе не содержат сколько-нибудь </w:t>
      </w:r>
      <w:r>
        <w:rPr>
          <w:rFonts w:ascii="Verdana" w:hAnsi="Verdana"/>
          <w:color w:val="000000"/>
          <w:sz w:val="18"/>
          <w:szCs w:val="18"/>
        </w:rPr>
        <w:lastRenderedPageBreak/>
        <w:t>значительного числа норм о социальной защите сотрудников-женщин. Поэтому содержание социальной защиты женщин сотрудников уяснено путем анализа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международных актов о правах женщин, федеральных законов, подзаконных актов. В результате сделан вывод о комплексном правовом регулировании отношений по социальной защите женщин-сотрудников, которые являются частью отношений по прохождению правоохранительной службы. Кроме того, обосновывается необходимость иметь в федеральных законах и других основополагающих актах об отдельных видах правоохранительной службы главу «Особенности прохождения службы и меры социальной защиты сотрудников - женщин». В связи с принятием Федерального закона от 2 февраля 2006г. «О внесении изменений в некоторые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по вопросу военнослужащих женского пола»' предлагается внести изменения в законодательные и иные акты о прохождении правоохранительной службы с тем, чтобы слова «сотрудники-женщины» заменить словами «</w:t>
      </w:r>
      <w:r>
        <w:rPr>
          <w:rStyle w:val="WW8Num4z0"/>
          <w:rFonts w:ascii="Verdana" w:hAnsi="Verdana"/>
          <w:color w:val="4682B4"/>
          <w:sz w:val="18"/>
          <w:szCs w:val="18"/>
        </w:rPr>
        <w:t>сотрудники женского пола</w:t>
      </w:r>
      <w:r>
        <w:rPr>
          <w:rFonts w:ascii="Verdana" w:hAnsi="Verdana"/>
          <w:color w:val="000000"/>
          <w:sz w:val="18"/>
          <w:szCs w:val="18"/>
        </w:rPr>
        <w:t>».</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Изучены вопросы социальной защиты членов семей сотрудников правоохранительных органов. Обоснованы предложения по улучшению правового регулирования в данной сфере.</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на кафедре социального права, государственной и муниципальной службы Уральской государственной юридической академии и обсуждалась на заседаниях кафедры. Основные положения и выводы, содержащиеся в диссертации, докладывались на научных и научно-практических конференциях: «Государственно-правовое реформирование России: итоги и перспективы» (Екатеринбург, сентябрь 2004г.);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Style w:val="WW8Num3z0"/>
          <w:rFonts w:ascii="Verdana" w:hAnsi="Verdana"/>
          <w:color w:val="000000"/>
          <w:sz w:val="18"/>
          <w:szCs w:val="18"/>
        </w:rPr>
        <w:t> </w:t>
      </w:r>
      <w:r>
        <w:rPr>
          <w:rFonts w:ascii="Verdana" w:hAnsi="Verdana"/>
          <w:color w:val="000000"/>
          <w:sz w:val="18"/>
          <w:szCs w:val="18"/>
        </w:rPr>
        <w:t>и проблемы современной юриспруденции» (Екатеринбург, апрель 2005г.); «Подготовка профессионала XXI века: интеграция науки и практики» (Екатеринбург, май 2005г.), в научных публикациях автора.</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СЗ РФ. 2006. № 6. Ст. 637.</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используются автором в процессе преподавания курса «</w:t>
      </w:r>
      <w:r>
        <w:rPr>
          <w:rStyle w:val="WW8Num4z0"/>
          <w:rFonts w:ascii="Verdana" w:hAnsi="Verdana"/>
          <w:color w:val="4682B4"/>
          <w:sz w:val="18"/>
          <w:szCs w:val="18"/>
        </w:rPr>
        <w:t>Право социального обеспечения</w:t>
      </w:r>
      <w:r>
        <w:rPr>
          <w:rFonts w:ascii="Verdana" w:hAnsi="Verdana"/>
          <w:color w:val="000000"/>
          <w:sz w:val="18"/>
          <w:szCs w:val="18"/>
        </w:rPr>
        <w:t>» и спецкурса «</w:t>
      </w:r>
      <w:r>
        <w:rPr>
          <w:rStyle w:val="WW8Num4z0"/>
          <w:rFonts w:ascii="Verdana" w:hAnsi="Verdana"/>
          <w:color w:val="4682B4"/>
          <w:sz w:val="18"/>
          <w:szCs w:val="18"/>
        </w:rPr>
        <w:t>Социальная защита сотрудников правоохранительных органов</w:t>
      </w:r>
      <w:r>
        <w:rPr>
          <w:rFonts w:ascii="Verdana" w:hAnsi="Verdana"/>
          <w:color w:val="000000"/>
          <w:sz w:val="18"/>
          <w:szCs w:val="18"/>
        </w:rPr>
        <w:t>» в Уральской государственной юридической академии. Кроме того, положения диссертации использованы для подготовки проекта контракта с участковыми</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милиции в Свердловской области и пояснительной записки к нему для Главного управления внутренних дел Свердловской области.</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диссертации. Материалы диссертации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в сфере социальной защиты сотрудников правоохранительных органов, а также в научно-исследовательской работе и в учебном процессе.</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двух глав, включающих восемь параграфов, заключения, а также библиографического списка.</w:t>
      </w:r>
    </w:p>
    <w:p w:rsidR="00FB3D94" w:rsidRDefault="00FB3D94" w:rsidP="00FB3D9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Дресвянкин, Денис Сергеевич</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правовых вопросов социальной защиты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позволяет сделать следующие основные выводы.</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Социальная защита сотрудников правоохранительных органов - это система правовых отношений, которые возникают между сотрудниками правоохранительных органов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другими субъектами права по поводу предоставления сотрудникам и (или) членам их семей на основе нормативных правовых актов и из средств федерального бюджета, а также других источников денежных выплат, натурального обеспечения и услуг при наступлении социальных случаев,</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необходимость их социальной защиты, с целью обеспечения нормальных условий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 сотрудников, а также компенсации повышенных психологических и физических нагрузок,</w:t>
      </w:r>
      <w:r>
        <w:rPr>
          <w:rStyle w:val="WW8Num3z0"/>
          <w:rFonts w:ascii="Verdana" w:hAnsi="Verdana"/>
          <w:color w:val="000000"/>
          <w:sz w:val="18"/>
          <w:szCs w:val="18"/>
        </w:rPr>
        <w:t> </w:t>
      </w:r>
      <w:r>
        <w:rPr>
          <w:rStyle w:val="WW8Num4z0"/>
          <w:rFonts w:ascii="Verdana" w:hAnsi="Verdana"/>
          <w:color w:val="4682B4"/>
          <w:sz w:val="18"/>
          <w:szCs w:val="18"/>
        </w:rPr>
        <w:t>служебных</w:t>
      </w:r>
      <w:r>
        <w:rPr>
          <w:rFonts w:ascii="Verdana" w:hAnsi="Verdana"/>
          <w:color w:val="000000"/>
          <w:sz w:val="18"/>
          <w:szCs w:val="18"/>
        </w:rPr>
        <w:t>ограничений и неблагоприятных последствий наступления социальных случаев.</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2. Социальное обеспечение является частью социальной защиты. Оно представляется преимущественно тогда, когда сотрудники правоохранительных органов временно (по причине болезни, травмы, уходу за заболевшим членом семьи, отпуска по беременности и родам, по уходу за </w:t>
      </w:r>
      <w:r>
        <w:rPr>
          <w:rFonts w:ascii="Verdana" w:hAnsi="Verdana"/>
          <w:color w:val="000000"/>
          <w:sz w:val="18"/>
          <w:szCs w:val="18"/>
        </w:rPr>
        <w:lastRenderedPageBreak/>
        <w:t>ребенком и т.д.) не могут исполнять</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обязанности (медицинская помощь, пособия по временной нетрудоспособности, по уходу за ребенком и др.), или прекратили служебные отношения по выслуге лет, инвалидности, в связи со смертью (пенсионное обеспечение, социальная поддержка, социальное обслуживание и др.). В то же время в социальное обеспечение не входят такие меры социальной защиты как денежное довольствие, вещевое и продовольственное обеспечение,</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причиненного жизни или здоровью сотрудников, обеспечение их жилыми помещениями и т.д.</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Социальные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можно считать мерами (видами) социальной защиты</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 том числе и государственных служащих. Так как социальное обеспечение представляет собой часть социальной защиты населения, социальные гарантии могут выступать как виды социального обеспечения.</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При осуществлении социальной защиты сотрудников правоохранительных органов возникает несколько групп</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Во-первых, это правоотношения по обеспечению</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условий службы (по охране труда, денежному довольствию, вещевому и продовольственному обеспечению, социально-бытовому обслуживанию). Они являются</w:t>
      </w:r>
      <w:r>
        <w:rPr>
          <w:rStyle w:val="WW8Num4z0"/>
          <w:rFonts w:ascii="Verdana" w:hAnsi="Verdana"/>
          <w:color w:val="4682B4"/>
          <w:sz w:val="18"/>
          <w:szCs w:val="18"/>
        </w:rPr>
        <w:t>административными</w:t>
      </w:r>
      <w:r>
        <w:rPr>
          <w:rFonts w:ascii="Verdana" w:hAnsi="Verdana"/>
          <w:color w:val="000000"/>
          <w:sz w:val="18"/>
          <w:szCs w:val="18"/>
        </w:rPr>
        <w:t>, трудовыми, гражданскими и социально-обеспечительными.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предоставлению выплат и компенсаций увольняемым сотрудникам можно считать административными и трудовыми. Особенностью же правоотношений по предоставлению отдельных мер социальной защиты сотрудников правоохранительных органов при наступлении социальных случаев является их тесная связь со</w:t>
      </w:r>
      <w:r>
        <w:rPr>
          <w:rStyle w:val="WW8Num3z0"/>
          <w:rFonts w:ascii="Verdana" w:hAnsi="Verdana"/>
          <w:color w:val="000000"/>
          <w:sz w:val="18"/>
          <w:szCs w:val="18"/>
        </w:rPr>
        <w:t> </w:t>
      </w:r>
      <w:r>
        <w:rPr>
          <w:rStyle w:val="WW8Num4z0"/>
          <w:rFonts w:ascii="Verdana" w:hAnsi="Verdana"/>
          <w:color w:val="4682B4"/>
          <w:sz w:val="18"/>
          <w:szCs w:val="18"/>
        </w:rPr>
        <w:t>служебными</w:t>
      </w:r>
      <w:r>
        <w:rPr>
          <w:rStyle w:val="WW8Num3z0"/>
          <w:rFonts w:ascii="Verdana" w:hAnsi="Verdana"/>
          <w:color w:val="000000"/>
          <w:sz w:val="18"/>
          <w:szCs w:val="18"/>
        </w:rPr>
        <w:t> </w:t>
      </w:r>
      <w:r>
        <w:rPr>
          <w:rFonts w:ascii="Verdana" w:hAnsi="Verdana"/>
          <w:color w:val="000000"/>
          <w:sz w:val="18"/>
          <w:szCs w:val="18"/>
        </w:rPr>
        <w:t>правоотношениями.</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Основы законодательства РФ об охране здоровья граждан не учитывают особенностей охраны здоровья сотрудников правоохранительных органов, хотя необходимость особого правового регулирования отношений, связанных с охраной здоровья этих лиц, обусловлена требованиями, которые предъявляет действующее законодательство к их здоровью.</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отношения по предоставлению медицинской помощи сотрудникам правоохранительных органов и членам их семей в настоящее время регулируются в основном нормативными актами соответствующих правоохранительных ведомств. Поскольку речь идет об одном из</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оно должно быть гарантированно на уровне Федерального закона «</w:t>
      </w:r>
      <w:r>
        <w:rPr>
          <w:rStyle w:val="WW8Num4z0"/>
          <w:rFonts w:ascii="Verdana" w:hAnsi="Verdana"/>
          <w:color w:val="4682B4"/>
          <w:sz w:val="18"/>
          <w:szCs w:val="18"/>
        </w:rPr>
        <w:t>Об охране здоровья сотрудников правоохранительных органов и членов их семей</w:t>
      </w:r>
      <w:r>
        <w:rPr>
          <w:rFonts w:ascii="Verdana" w:hAnsi="Verdana"/>
          <w:color w:val="000000"/>
          <w:sz w:val="18"/>
          <w:szCs w:val="18"/>
        </w:rPr>
        <w:t>».</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Денежное довольствие сотрудников правоохранительных органов имеет признаки, как совпадающие, так и не совпадающие с признаками заработной платы. Во-первых, денежное довольствие - это вознаграждение за службу, в чем оно полностью совпадает с заработной платой. Во-вторых, денежное довольствие, так же, как и заработная плата, основано на заранее установленных нормах. В-третьих, денежное довольствие зависит от конечных результатов службы, однако не в такой мере, как заработная плата при сдельной оплате труда. В-четвертых, источником денежного довольствия сотрудников правоохранительных органов является федеральный бюджет. В-пятых, размер денежного довольствия, как и размер заработной платы, никакими пределами не ограничивается и не может быть ниже минимальной оплаты труда. Однако для денежного довольствия характерна высокая степень централизации нормативного регулирования по сравнению с регулированием заработной платы. Кроме того, денежное довольствие выплачивается только в денежной форме. Наконец, различие между заработной платой и денежным довольствием заключается в их внутренней структуре.</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настоящее время существует целый ряд пенсионных служб, занимающихся вопросами назначения и выплаты пенсий сотрудникам правоохранительных органов и членам их семей. При незначительных различиях в правовом статусе сотрудников отдельных правоохранительных органов их пенсионное обеспечение осуществляется на основе единого закона - Закона РФ от 12 февраля 1993 г. Поэтому в целях повышения качества пенсионного обеспечения, унификации практики применения законодательства о пенсиях представляется целесообразным создать Федеральную службу государственного социального обеспечения из трех звеньев - центрального, регионального и местного. Кроме того, необходимо внесение изменений и дополнений в Закон РФ от 12 февраля 1993г., а также в</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о порядке пенсионного обеспечения. Изменения и дополнения в Закон РФ от 12 февраля 1993г. должны касаться круга лиц, имеющих право на пенсию, исчисления выслуги лет и трудового стажа, правил обращения за пенсией, выплаты пенсий и др.</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Нормативные правовые акты 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службе не содержат сколько-нибудь значительного числа норм о социальной защите женщин - сотрудников. Это означает, что на сотрудников - женщин распространяются положения о социальной защите женщин, содержащиеся в нормативных правовых актах о труде и социальном обеспечении. В то же время существует необходимость в федеральных законах и других основополагающих актах о правоохранительной службе иметь главу «Особенности прохождения службы и меры социальной защиты сотрудников - женщин». В дальнейшем эту главу следует предусмотреть в Федеральном законе «</w:t>
      </w:r>
      <w:r>
        <w:rPr>
          <w:rStyle w:val="WW8Num4z0"/>
          <w:rFonts w:ascii="Verdana" w:hAnsi="Verdana"/>
          <w:color w:val="4682B4"/>
          <w:sz w:val="18"/>
          <w:szCs w:val="18"/>
        </w:rPr>
        <w:t>О службе в правоохранительных органах</w:t>
      </w:r>
      <w:r>
        <w:rPr>
          <w:rFonts w:ascii="Verdana" w:hAnsi="Verdana"/>
          <w:color w:val="000000"/>
          <w:sz w:val="18"/>
          <w:szCs w:val="18"/>
        </w:rPr>
        <w:t>».</w:t>
      </w:r>
    </w:p>
    <w:p w:rsidR="00FB3D94" w:rsidRDefault="00FB3D94" w:rsidP="00FB3D9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Служба в правоохранительных органах оказывает отрицательное влияние не только на здоровье сотрудников и их образ жизни, но и на здоровье и образ жизни членов их семей. Поэтому государство в определенной мере компенсирует членам семей сотрудников те неблагоприятные воздействия, которые они испытывают (испытывали), будучи супругами или родственниками сотрудников.</w:t>
      </w:r>
    </w:p>
    <w:p w:rsidR="00FB3D94" w:rsidRDefault="00FB3D94" w:rsidP="00FB3D9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Недостатки в пенсионном обеспечении членов семей сотрудников правоохранительных органов позволяют сделать вывод о том, что Министерство здравоохранения и социального развития России должно давать</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о применении Закона РФ от 12 февраля 1993г., а</w:t>
      </w:r>
      <w:r>
        <w:rPr>
          <w:rStyle w:val="WW8Num3z0"/>
          <w:rFonts w:ascii="Verdana" w:hAnsi="Verdana"/>
          <w:color w:val="000000"/>
          <w:sz w:val="18"/>
          <w:szCs w:val="18"/>
        </w:rPr>
        <w:t> </w:t>
      </w: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РФ - выступать с</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инициативами о внесении изменений и дополнений в федеральные законы по вопросам социального обеспечения.</w:t>
      </w:r>
    </w:p>
    <w:p w:rsidR="00FB3D94" w:rsidRDefault="00FB3D94" w:rsidP="00FB3D9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Дресвянкин, Денис Сергеевич, 2006 год</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практика1. Конституция РФ. М., 1993.</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инвалидов, принятая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9 декабря 1975г. // Соц. обеспечение. 1990. № 1.</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правах ребенка, одобренная Генеральной Ассамблеей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20 ноября 1989г. //Ведомости.</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1990. № 45.</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Европейская Конвенция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принятая 4 ноября 1950г. // Права человека: Сб. универс. и регион, междунар. документов.</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принятая 18 октября 1961г. и пересмотренная 3 мая 1996г. // Отд. изд.</w:t>
      </w:r>
      <w:r>
        <w:rPr>
          <w:rStyle w:val="WW8Num3z0"/>
          <w:rFonts w:ascii="Verdana" w:hAnsi="Verdana"/>
          <w:color w:val="000000"/>
          <w:sz w:val="18"/>
          <w:szCs w:val="18"/>
        </w:rPr>
        <w:t> </w:t>
      </w:r>
      <w:r>
        <w:rPr>
          <w:rStyle w:val="WW8Num4z0"/>
          <w:rFonts w:ascii="Verdana" w:hAnsi="Verdana"/>
          <w:color w:val="4682B4"/>
          <w:sz w:val="18"/>
          <w:szCs w:val="18"/>
        </w:rPr>
        <w:t>Страсбург</w:t>
      </w:r>
      <w:r>
        <w:rPr>
          <w:rFonts w:ascii="Verdana" w:hAnsi="Verdana"/>
          <w:color w:val="000000"/>
          <w:sz w:val="18"/>
          <w:szCs w:val="18"/>
        </w:rPr>
        <w:t>, 1996.</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Европейская конвенция о защите прав человека и основных свобод после ее</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Федеральным законом от 30 марта 1998г. // СЗ РФ. 1998. № 14.</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103 (1952г.) «</w:t>
      </w:r>
      <w:r>
        <w:rPr>
          <w:rStyle w:val="WW8Num4z0"/>
          <w:rFonts w:ascii="Verdana" w:hAnsi="Verdana"/>
          <w:color w:val="4682B4"/>
          <w:sz w:val="18"/>
          <w:szCs w:val="18"/>
        </w:rPr>
        <w:t>Об охране материнства</w:t>
      </w:r>
      <w:r>
        <w:rPr>
          <w:rFonts w:ascii="Verdana" w:hAnsi="Verdana"/>
          <w:color w:val="000000"/>
          <w:sz w:val="18"/>
          <w:szCs w:val="18"/>
        </w:rPr>
        <w:t>» // МОТ: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Женева, 1991. Т. 1.</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 102 (1952) «</w:t>
      </w:r>
      <w:r>
        <w:rPr>
          <w:rStyle w:val="WW8Num4z0"/>
          <w:rFonts w:ascii="Verdana" w:hAnsi="Verdana"/>
          <w:color w:val="4682B4"/>
          <w:sz w:val="18"/>
          <w:szCs w:val="18"/>
        </w:rPr>
        <w:t>О минимальных нормах социального обеспечения</w:t>
      </w:r>
      <w:r>
        <w:rPr>
          <w:rFonts w:ascii="Verdana" w:hAnsi="Verdana"/>
          <w:color w:val="000000"/>
          <w:sz w:val="18"/>
          <w:szCs w:val="18"/>
        </w:rPr>
        <w:t>» // МОТ: Конвенции и Рекомендации. Т. 1.</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МОТ № 159 (1983) «</w:t>
      </w:r>
      <w:r>
        <w:rPr>
          <w:rStyle w:val="WW8Num4z0"/>
          <w:rFonts w:ascii="Verdana" w:hAnsi="Verdana"/>
          <w:color w:val="4682B4"/>
          <w:sz w:val="18"/>
          <w:szCs w:val="18"/>
        </w:rPr>
        <w:t>О профессиональной реабилитации и занятости инвалидов</w:t>
      </w:r>
      <w:r>
        <w:rPr>
          <w:rFonts w:ascii="Verdana" w:hAnsi="Verdana"/>
          <w:color w:val="000000"/>
          <w:sz w:val="18"/>
          <w:szCs w:val="18"/>
        </w:rPr>
        <w:t>» // МОТ: Конвенции и Рекомендации. Женева, 1991. Т. 2.</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117 (1962) «</w:t>
      </w:r>
      <w:r>
        <w:rPr>
          <w:rStyle w:val="WW8Num4z0"/>
          <w:rFonts w:ascii="Verdana" w:hAnsi="Verdana"/>
          <w:color w:val="4682B4"/>
          <w:sz w:val="18"/>
          <w:szCs w:val="18"/>
        </w:rPr>
        <w:t>Об основных целях и нормах социальной политики</w:t>
      </w:r>
      <w:r>
        <w:rPr>
          <w:rFonts w:ascii="Verdana" w:hAnsi="Verdana"/>
          <w:color w:val="000000"/>
          <w:sz w:val="18"/>
          <w:szCs w:val="18"/>
        </w:rPr>
        <w:t>» // МОТ: Конвенции и Рекомендации. Т. 1.</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МОТ № 121 (1964г.) «</w:t>
      </w:r>
      <w:r>
        <w:rPr>
          <w:rStyle w:val="WW8Num4z0"/>
          <w:rFonts w:ascii="Verdana" w:hAnsi="Verdana"/>
          <w:color w:val="4682B4"/>
          <w:sz w:val="18"/>
          <w:szCs w:val="18"/>
        </w:rPr>
        <w:t>О пособиях в случае производственного травматизма</w:t>
      </w:r>
      <w:r>
        <w:rPr>
          <w:rFonts w:ascii="Verdana" w:hAnsi="Verdana"/>
          <w:color w:val="000000"/>
          <w:sz w:val="18"/>
          <w:szCs w:val="18"/>
        </w:rPr>
        <w:t>» // МОТ: Конвенции и Рекомендации. Т. 1.</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МОТ № 130 (1969г.) «</w:t>
      </w:r>
      <w:r>
        <w:rPr>
          <w:rStyle w:val="WW8Num4z0"/>
          <w:rFonts w:ascii="Verdana" w:hAnsi="Verdana"/>
          <w:color w:val="4682B4"/>
          <w:sz w:val="18"/>
          <w:szCs w:val="18"/>
        </w:rPr>
        <w:t>О медицинской помощи и пособиям по болезни</w:t>
      </w:r>
      <w:r>
        <w:rPr>
          <w:rFonts w:ascii="Verdana" w:hAnsi="Verdana"/>
          <w:color w:val="000000"/>
          <w:sz w:val="18"/>
          <w:szCs w:val="18"/>
        </w:rPr>
        <w:t>» // МОТ: Конвенции и Рекомендации. Т. 2.</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Конвенция MOT № 151 (1978) «</w:t>
      </w:r>
      <w:r>
        <w:rPr>
          <w:rStyle w:val="WW8Num4z0"/>
          <w:rFonts w:ascii="Verdana" w:hAnsi="Verdana"/>
          <w:color w:val="4682B4"/>
          <w:sz w:val="18"/>
          <w:szCs w:val="18"/>
        </w:rPr>
        <w:t>О трудовых отношениях на государственной службе</w:t>
      </w:r>
      <w:r>
        <w:rPr>
          <w:rFonts w:ascii="Verdana" w:hAnsi="Verdana"/>
          <w:color w:val="000000"/>
          <w:sz w:val="18"/>
          <w:szCs w:val="18"/>
        </w:rPr>
        <w:t>» // МОТ: Конвенции и Рекомендации. Т. 2.</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Конвенция МОТ № 156 (1981) «О трудящихся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 МОТ: Конвенции и Рекомендации. Женева, 1991. Т. 2.</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Конвенция МОТ № 128 (1989г.) «</w:t>
      </w:r>
      <w:r>
        <w:rPr>
          <w:rStyle w:val="WW8Num4z0"/>
          <w:rFonts w:ascii="Verdana" w:hAnsi="Verdana"/>
          <w:color w:val="4682B4"/>
          <w:sz w:val="18"/>
          <w:szCs w:val="18"/>
        </w:rPr>
        <w:t>О пособиях по инвалидности, по старости, по случаю потери кормильца</w:t>
      </w:r>
      <w:r>
        <w:rPr>
          <w:rFonts w:ascii="Verdana" w:hAnsi="Verdana"/>
          <w:color w:val="000000"/>
          <w:sz w:val="18"/>
          <w:szCs w:val="18"/>
        </w:rPr>
        <w:t>» // МОТ: Конвенции и Рекомендации. Т. 2.</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Рекомендация МОТ № 67 (1944г.) «</w:t>
      </w:r>
      <w:r>
        <w:rPr>
          <w:rStyle w:val="WW8Num4z0"/>
          <w:rFonts w:ascii="Verdana" w:hAnsi="Verdana"/>
          <w:color w:val="4682B4"/>
          <w:sz w:val="18"/>
          <w:szCs w:val="18"/>
        </w:rPr>
        <w:t>Об обеспечении дохода</w:t>
      </w:r>
      <w:r>
        <w:rPr>
          <w:rFonts w:ascii="Verdana" w:hAnsi="Verdana"/>
          <w:color w:val="000000"/>
          <w:sz w:val="18"/>
          <w:szCs w:val="18"/>
        </w:rPr>
        <w:t>» // МОТ: Конвенции и Рекомендации. Т. 1.</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 Рекомендация МОТ № 68 (1944г.) «Об обеспечении дохода и о медицинском обслуживании лиц, демобилизованных из вооруженных сил и подобных служб и из военных отраслей хозяйства» // МОТ: Конвенции и Рекомендации, т.1.</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Конвенция Содружества Независимых Государств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от 26 мая 1995г. (</w:t>
      </w:r>
      <w:r>
        <w:rPr>
          <w:rStyle w:val="WW8Num4z0"/>
          <w:rFonts w:ascii="Verdana" w:hAnsi="Verdana"/>
          <w:color w:val="4682B4"/>
          <w:sz w:val="18"/>
          <w:szCs w:val="18"/>
        </w:rPr>
        <w:t>ратифицирована</w:t>
      </w:r>
      <w:r>
        <w:rPr>
          <w:rStyle w:val="WW8Num3z0"/>
          <w:rFonts w:ascii="Verdana" w:hAnsi="Verdana"/>
          <w:color w:val="000000"/>
          <w:sz w:val="18"/>
          <w:szCs w:val="18"/>
        </w:rPr>
        <w:t> </w:t>
      </w:r>
      <w:r>
        <w:rPr>
          <w:rFonts w:ascii="Verdana" w:hAnsi="Verdana"/>
          <w:color w:val="000000"/>
          <w:sz w:val="18"/>
          <w:szCs w:val="18"/>
        </w:rPr>
        <w:t>РФ Федеральным законом от 4 ноября 1995г. // СЗ РФ. 1995. № 45. Ст. 4239; 1999. № 13.</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Хартия социальных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граждан содружества Независимых Государств, одобренная</w:t>
      </w:r>
      <w:r>
        <w:rPr>
          <w:rStyle w:val="WW8Num3z0"/>
          <w:rFonts w:ascii="Verdana" w:hAnsi="Verdana"/>
          <w:color w:val="000000"/>
          <w:sz w:val="18"/>
          <w:szCs w:val="18"/>
        </w:rPr>
        <w:t> </w:t>
      </w:r>
      <w:r>
        <w:rPr>
          <w:rStyle w:val="WW8Num4z0"/>
          <w:rFonts w:ascii="Verdana" w:hAnsi="Verdana"/>
          <w:color w:val="4682B4"/>
          <w:sz w:val="18"/>
          <w:szCs w:val="18"/>
        </w:rPr>
        <w:t>Межпарламентской</w:t>
      </w:r>
      <w:r>
        <w:rPr>
          <w:rStyle w:val="WW8Num3z0"/>
          <w:rFonts w:ascii="Verdana" w:hAnsi="Verdana"/>
          <w:color w:val="000000"/>
          <w:sz w:val="18"/>
          <w:szCs w:val="18"/>
        </w:rPr>
        <w:t> </w:t>
      </w:r>
      <w:r>
        <w:rPr>
          <w:rFonts w:ascii="Verdana" w:hAnsi="Verdana"/>
          <w:color w:val="000000"/>
          <w:sz w:val="18"/>
          <w:szCs w:val="18"/>
        </w:rPr>
        <w:t>Ассамблеей государств участников СНГ 28-29 октября 1994г. // Международные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с комментариями. М., 1997.</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гарантиях прав граждан государств участников Содружества Независимых Государств в области пенсионного обеспечения, г. Москва 13 марта 1992г. // Бюл. междунар. договоров. 1993. № 4.</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Соглашение Генеральных</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государств участников СНГ о взаимном зачете в общий трудовой стаж и выслугу лет службы в органах иучреждениях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(Москва, 6 января 1997г.) // Документ опубликован не был.</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Соглашение о взаимном зачете в общий трудовой стаж и выслугу лет службу в органах и учреждениях прокуратуры в государствах участниках Содружества Независимых Государств (Москва, 25 ноября 1998г.) // Документ опубликован не был.</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Совета Европы от 5 мая 1949г. // СЗ РФ. 1997. № 12. Ст. 1390.</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 СЗ РФ. 2002. № 1. Ст. 3</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РФ // СЗ РФ. 2003. № 22.</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Закон РФ от 18 апреля 1991г.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 Ведомости. РСФСР. 1991. № 16. Ст. 503.</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Закон Российской Федерации от 5 марта 1992г. «</w:t>
      </w:r>
      <w:r>
        <w:rPr>
          <w:rStyle w:val="WW8Num4z0"/>
          <w:rFonts w:ascii="Verdana" w:hAnsi="Verdana"/>
          <w:color w:val="4682B4"/>
          <w:sz w:val="18"/>
          <w:szCs w:val="18"/>
        </w:rPr>
        <w:t>О безопасности</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Ведомости</w:t>
      </w:r>
      <w:r>
        <w:rPr>
          <w:rFonts w:ascii="Verdana" w:hAnsi="Verdana"/>
          <w:color w:val="000000"/>
          <w:sz w:val="18"/>
          <w:szCs w:val="18"/>
        </w:rPr>
        <w:t>. РСФСР. 1992. № 15. Ст. 769.</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Положение о порядке обеспечения пособиями по государственному социальному страхованию.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Президиума ВЦСПС от 12 ноября 1984г. // Отд. изд. М., 1984.</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Положение о службе в органах внутренних дел Российской Федерации. Утверждено постановлением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от 23 декабря 1992г. // Ведомости. РФ. 1993. № 2.</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РФ от 21 июля 1993г. «Об учреждениях и органах, исполняющих уголовные</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 // Ведомости. РФ. 1993. №33. Ст. 1316.</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17 января 1992г. (в ред. от 17.11.1995)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Ведомости. РФ. 1992. № 8. Ст. 366; СЗРФ. 1995. №47. Ст. 4472.</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от 21 декабря 1994г. № 69-ФЗ «</w:t>
      </w:r>
      <w:r>
        <w:rPr>
          <w:rStyle w:val="WW8Num4z0"/>
          <w:rFonts w:ascii="Verdana" w:hAnsi="Verdana"/>
          <w:color w:val="4682B4"/>
          <w:sz w:val="18"/>
          <w:szCs w:val="18"/>
        </w:rPr>
        <w:t>О пожарной безопасности</w:t>
      </w:r>
      <w:r>
        <w:rPr>
          <w:rFonts w:ascii="Verdana" w:hAnsi="Verdana"/>
          <w:color w:val="000000"/>
          <w:sz w:val="18"/>
          <w:szCs w:val="18"/>
        </w:rPr>
        <w:t>» // СЗ РФ. 1994. № 35. Ст. 3649.</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от 12 января 1995г. «</w:t>
      </w:r>
      <w:r>
        <w:rPr>
          <w:rStyle w:val="WW8Num4z0"/>
          <w:rFonts w:ascii="Verdana" w:hAnsi="Verdana"/>
          <w:color w:val="4682B4"/>
          <w:sz w:val="18"/>
          <w:szCs w:val="18"/>
        </w:rPr>
        <w:t>О ветеранах</w:t>
      </w:r>
      <w:r>
        <w:rPr>
          <w:rFonts w:ascii="Verdana" w:hAnsi="Verdana"/>
          <w:color w:val="000000"/>
          <w:sz w:val="18"/>
          <w:szCs w:val="18"/>
        </w:rPr>
        <w:t>» (в ред. от 2 января 2000г.)// СЗ РФ. 2000. № 2. Ст. 161.</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закон от 19 мая 1995г. «О государственных пособиях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 СЗ РФ. 1995. № 21. Ст. 3649.</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Федеральный закон от 10 января 1996г.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социальной защиты судей и работников аппаратов судов Российской Федерации» // СЗ РФ. 1996. № 3. Ст. 144.</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Закон РФ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 СЗ РФ. 1996. № 17. Ст. 1915.</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Федеральный закон от 21 июня 1997г.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 СЗ РФ. 1997. № 30. Ст. 3586.</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Федеральный закон от 27 мая 1998г. «</w:t>
      </w:r>
      <w:r>
        <w:rPr>
          <w:rStyle w:val="WW8Num4z0"/>
          <w:rFonts w:ascii="Verdana" w:hAnsi="Verdana"/>
          <w:color w:val="4682B4"/>
          <w:sz w:val="18"/>
          <w:szCs w:val="18"/>
        </w:rPr>
        <w:t>О статусе военнослужащих</w:t>
      </w:r>
      <w:r>
        <w:rPr>
          <w:rFonts w:ascii="Verdana" w:hAnsi="Verdana"/>
          <w:color w:val="000000"/>
          <w:sz w:val="18"/>
          <w:szCs w:val="18"/>
        </w:rPr>
        <w:t>» // СЗ РФ. 1998. №22. Ст. 2331.</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Федеральный закон от 12 февраля 2001г. «О гарантиях</w:t>
      </w:r>
      <w:r>
        <w:rPr>
          <w:rStyle w:val="WW8Num3z0"/>
          <w:rFonts w:ascii="Verdana" w:hAnsi="Verdana"/>
          <w:color w:val="000000"/>
          <w:sz w:val="18"/>
          <w:szCs w:val="18"/>
        </w:rPr>
        <w:t> </w:t>
      </w:r>
      <w:r>
        <w:rPr>
          <w:rStyle w:val="WW8Num4z0"/>
          <w:rFonts w:ascii="Verdana" w:hAnsi="Verdana"/>
          <w:color w:val="4682B4"/>
          <w:sz w:val="18"/>
          <w:szCs w:val="18"/>
        </w:rPr>
        <w:t>Президенту</w:t>
      </w:r>
      <w:r>
        <w:rPr>
          <w:rStyle w:val="WW8Num3z0"/>
          <w:rFonts w:ascii="Verdana" w:hAnsi="Verdana"/>
          <w:color w:val="000000"/>
          <w:sz w:val="18"/>
          <w:szCs w:val="18"/>
        </w:rPr>
        <w:t> </w:t>
      </w:r>
      <w:r>
        <w:rPr>
          <w:rFonts w:ascii="Verdana" w:hAnsi="Verdana"/>
          <w:color w:val="000000"/>
          <w:sz w:val="18"/>
          <w:szCs w:val="18"/>
        </w:rPr>
        <w:t>Российской Федерации, прекратившему исполнение своих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 СЗ РФ. 2001. №7. Ст. 617.</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Федеральный закон от 31 июля 1995г. «</w:t>
      </w:r>
      <w:r>
        <w:rPr>
          <w:rStyle w:val="WW8Num4z0"/>
          <w:rFonts w:ascii="Verdana" w:hAnsi="Verdana"/>
          <w:color w:val="4682B4"/>
          <w:sz w:val="18"/>
          <w:szCs w:val="18"/>
        </w:rPr>
        <w:t>Об основах государственной службы в Российской Федерации</w:t>
      </w:r>
      <w:r>
        <w:rPr>
          <w:rFonts w:ascii="Verdana" w:hAnsi="Verdana"/>
          <w:color w:val="000000"/>
          <w:sz w:val="18"/>
          <w:szCs w:val="18"/>
        </w:rPr>
        <w:t>» // СЗ РФ. 1995. № 31. Ст. 2990.</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Федеральный закон от 27 мая 2003г.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 СЗ РФ. 2003. № 22. Ст. 2063.</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Федеральный закон 27 июля 2004г.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 СЗ РФ. 2004. № 31. Ст. 3215.</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 Федеральный закон от 22 декабря 2005г. «О бюджете Фонда социального страхования Российской Федерации на 2006 год» // СЗ РФ. 2005. № 52. Ст. 5586.</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Федеральный закон от 2 февраля 2006г. «О внесении изменений в некоторые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по вопросу военнослужащих женского пола» // СЗ РФ. 2006. № 6. Ст. 3753.</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24 декабря 1993г. № 2291 «О пенсионном обеспечении работников органов и учреждений прокуратуры Российской Федерации и их семей»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1993. № 40. Ст. 3753.</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Положение о классных чинах</w:t>
      </w:r>
      <w:r>
        <w:rPr>
          <w:rStyle w:val="WW8Num3z0"/>
          <w:rFonts w:ascii="Verdana" w:hAnsi="Verdana"/>
          <w:color w:val="000000"/>
          <w:sz w:val="18"/>
          <w:szCs w:val="18"/>
        </w:rPr>
        <w:t> </w:t>
      </w:r>
      <w:r>
        <w:rPr>
          <w:rStyle w:val="WW8Num4z0"/>
          <w:rFonts w:ascii="Verdana" w:hAnsi="Verdana"/>
          <w:color w:val="4682B4"/>
          <w:sz w:val="18"/>
          <w:szCs w:val="18"/>
        </w:rPr>
        <w:t>прокурорских</w:t>
      </w:r>
      <w:r>
        <w:rPr>
          <w:rStyle w:val="WW8Num3z0"/>
          <w:rFonts w:ascii="Verdana" w:hAnsi="Verdana"/>
          <w:color w:val="000000"/>
          <w:sz w:val="18"/>
          <w:szCs w:val="18"/>
        </w:rPr>
        <w:t> </w:t>
      </w:r>
      <w:r>
        <w:rPr>
          <w:rFonts w:ascii="Verdana" w:hAnsi="Verdana"/>
          <w:color w:val="000000"/>
          <w:sz w:val="18"/>
          <w:szCs w:val="18"/>
        </w:rPr>
        <w:t>работников Российской Федерации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30 июня 1997г. // СЗ РФ. 1997. № 27. Ст. 3158.</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Табель соответствия специальных званий сотрудников органов внутренних дел Российской Федерации, учреждений и органов уголовно-исполнительной системы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Положение 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службе в органах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Утв. Указом</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5 июля 2003 г. // СЗ РФ. 2003г. № 23. Ст. 2197.</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Положение о Федеральной службе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наказаний. Утв. Указом Президента РФ от 13 октября 2004г. // СЗ РФ. 2004. № 42. Ст. 4109.</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Положение о Федеральной службе</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приставов. Утв. Указом Президента РФ от 13 октября 2004г. // СЗ РФ. 2004. № 42. Ст. 4111.</w:t>
      </w:r>
    </w:p>
    <w:p w:rsidR="00FB3D94" w:rsidRDefault="00FB3D94" w:rsidP="00FB3D9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Положение о порядке присвоения и сохранения классных чинов государственной гражданской службы Российской Федерации федеральным государственным гражданским служащим, Утв. Указом Президента РФ от 1 февраля 2005г. // СЗ РФ. 2005. № 6. Ст. 440.</w:t>
      </w:r>
    </w:p>
    <w:p w:rsidR="006B109D" w:rsidRDefault="00FB3D94" w:rsidP="00FB3D94">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B109D" w:rsidRDefault="006B109D"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C20" w:rsidRDefault="00515C20">
      <w:r>
        <w:separator/>
      </w:r>
    </w:p>
  </w:endnote>
  <w:endnote w:type="continuationSeparator" w:id="0">
    <w:p w:rsidR="00515C20" w:rsidRDefault="00515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C20" w:rsidRDefault="00515C20">
      <w:r>
        <w:separator/>
      </w:r>
    </w:p>
  </w:footnote>
  <w:footnote w:type="continuationSeparator" w:id="0">
    <w:p w:rsidR="00515C20" w:rsidRDefault="00515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20"/>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6331A-5931-4B0E-9EAE-65A32807E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65173</TotalTime>
  <Pages>9</Pages>
  <Words>4732</Words>
  <Characters>26973</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31642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353</cp:revision>
  <cp:lastPrinted>2009-02-06T08:36:00Z</cp:lastPrinted>
  <dcterms:created xsi:type="dcterms:W3CDTF">2015-03-22T11:10:00Z</dcterms:created>
  <dcterms:modified xsi:type="dcterms:W3CDTF">2016-01-18T13:59:00Z</dcterms:modified>
</cp:coreProperties>
</file>