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CBF2" w14:textId="1C27D382" w:rsidR="00714A27" w:rsidRPr="007531D7" w:rsidRDefault="007531D7" w:rsidP="007531D7">
      <w:r>
        <w:rPr>
          <w:rFonts w:ascii="Verdana" w:hAnsi="Verdana"/>
          <w:b/>
          <w:bCs/>
          <w:color w:val="000000"/>
          <w:shd w:val="clear" w:color="auto" w:fill="FFFFFF"/>
        </w:rPr>
        <w:t>Вихор Світлана Теодозіївна. Гендерне виховання учнів старшого підліткового та раннього юнацького віку : Дис... канд. пед. наук: 13.00.07 / Тернопільський національний педагогічний ун-т ім. Володимира Гнатюка. — Т., 2005. — 272арк. : табл. — Бібліогр.: арк. 181-202.</w:t>
      </w:r>
    </w:p>
    <w:sectPr w:rsidR="00714A27" w:rsidRPr="00753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F941" w14:textId="77777777" w:rsidR="007A35D7" w:rsidRDefault="007A35D7">
      <w:pPr>
        <w:spacing w:after="0" w:line="240" w:lineRule="auto"/>
      </w:pPr>
      <w:r>
        <w:separator/>
      </w:r>
    </w:p>
  </w:endnote>
  <w:endnote w:type="continuationSeparator" w:id="0">
    <w:p w14:paraId="59378892" w14:textId="77777777" w:rsidR="007A35D7" w:rsidRDefault="007A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A2E6" w14:textId="77777777" w:rsidR="007A35D7" w:rsidRDefault="007A35D7">
      <w:pPr>
        <w:spacing w:after="0" w:line="240" w:lineRule="auto"/>
      </w:pPr>
      <w:r>
        <w:separator/>
      </w:r>
    </w:p>
  </w:footnote>
  <w:footnote w:type="continuationSeparator" w:id="0">
    <w:p w14:paraId="4F413E4C" w14:textId="77777777" w:rsidR="007A35D7" w:rsidRDefault="007A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5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3492</cp:revision>
  <dcterms:created xsi:type="dcterms:W3CDTF">2024-06-20T08:51:00Z</dcterms:created>
  <dcterms:modified xsi:type="dcterms:W3CDTF">2024-07-10T22:21:00Z</dcterms:modified>
  <cp:category/>
</cp:coreProperties>
</file>