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F4" w:rsidRPr="002E3FF4" w:rsidRDefault="002E3FF4" w:rsidP="002E3FF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2E3FF4">
        <w:rPr>
          <w:rFonts w:ascii="Arial" w:hAnsi="Arial" w:cs="Arial"/>
          <w:b/>
          <w:bCs/>
          <w:color w:val="000000"/>
          <w:kern w:val="0"/>
          <w:sz w:val="28"/>
          <w:szCs w:val="28"/>
          <w:lang w:eastAsia="ru-RU"/>
        </w:rPr>
        <w:t>Іщенко Олена Анатоліївна</w:t>
      </w:r>
      <w:r w:rsidRPr="002E3FF4">
        <w:rPr>
          <w:rFonts w:ascii="Arial" w:hAnsi="Arial" w:cs="Arial"/>
          <w:color w:val="000000"/>
          <w:kern w:val="0"/>
          <w:sz w:val="28"/>
          <w:szCs w:val="28"/>
          <w:lang w:eastAsia="ru-RU"/>
        </w:rPr>
        <w:t xml:space="preserve">, аспірант Сумського державного педагогічного університету імені А. С. Макаренка, тема дисертації «Проза Мирослава Дочинця: проблематика і поетика», (035 Філологія). Спеціалізована вчена рада ДФ 26.053.026 в Національному педагогічному університеті імені М.П. Драгоманова </w:t>
      </w:r>
    </w:p>
    <w:p w:rsidR="00C26D80" w:rsidRPr="002E3FF4" w:rsidRDefault="00C26D80" w:rsidP="002E3FF4"/>
    <w:sectPr w:rsidR="00C26D80" w:rsidRPr="002E3FF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2E3FF4" w:rsidRPr="002E3FF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D18C5-CF81-4A04-BBD8-2CE3CCF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44</Words>
  <Characters>254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2021-10-15T14:11:00Z</dcterms:created>
  <dcterms:modified xsi:type="dcterms:W3CDTF">2021-10-17T16:23:00Z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