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14F94" w14:textId="7FFB3589" w:rsidR="00581FD4" w:rsidRDefault="005D1FD1" w:rsidP="005D1FD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Кириенко Михаил Сергеевич. Система Особенной части Уголовного кодекса Российской Федерации</w:t>
      </w:r>
      <w:bookmarkEnd w:id="0"/>
      <w:r>
        <w:rPr>
          <w:rFonts w:ascii="Verdana" w:hAnsi="Verdana"/>
          <w:color w:val="000000"/>
          <w:sz w:val="18"/>
          <w:szCs w:val="18"/>
          <w:shd w:val="clear" w:color="auto" w:fill="FFFFFF"/>
        </w:rPr>
        <w:t>: диссертация ... кандидата юридических наук: 12.00.08 / Кириенко Михаил Сергеевич;[Место защиты: Омская академия МВД России].- Омск, 2015.- 229 с.</w:t>
      </w:r>
    </w:p>
    <w:p w14:paraId="683D9259" w14:textId="77777777" w:rsidR="005D1FD1" w:rsidRPr="005D1FD1" w:rsidRDefault="005D1FD1" w:rsidP="005D1FD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D1FD1">
        <w:rPr>
          <w:rFonts w:ascii="Verdana" w:eastAsia="Times New Roman" w:hAnsi="Verdana" w:cs="Times New Roman"/>
          <w:b/>
          <w:bCs/>
          <w:color w:val="AC370B"/>
          <w:kern w:val="0"/>
          <w:sz w:val="23"/>
          <w:szCs w:val="23"/>
          <w:lang w:eastAsia="ru-RU"/>
        </w:rPr>
        <w:t>Содержание к диссертации</w:t>
      </w:r>
    </w:p>
    <w:p w14:paraId="1D2443EA"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Введение</w:t>
      </w:r>
    </w:p>
    <w:p w14:paraId="134E2AD9"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FD1">
        <w:rPr>
          <w:rFonts w:ascii="Verdana" w:eastAsia="Times New Roman" w:hAnsi="Verdana" w:cs="Times New Roman"/>
          <w:b/>
          <w:bCs/>
          <w:color w:val="000000"/>
          <w:kern w:val="0"/>
          <w:sz w:val="18"/>
          <w:szCs w:val="18"/>
          <w:lang w:eastAsia="ru-RU"/>
        </w:rPr>
        <w:t>ГЛАВА 1. Понятие и социально-правовые предпосылки построения системы особенной части уголовного кодекса российской федерации 12</w:t>
      </w:r>
    </w:p>
    <w:p w14:paraId="38CE7B35"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1. Понятие системы Особенной части УК РФ 12</w:t>
      </w:r>
    </w:p>
    <w:p w14:paraId="645978D1"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2. Цели, задачи и функции системы Особенной части УК РФ 27</w:t>
      </w:r>
    </w:p>
    <w:p w14:paraId="577CDE97"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3. Развитие системы Особенной части в отечественном уголовном законодательстве 45</w:t>
      </w:r>
    </w:p>
    <w:p w14:paraId="6C741993"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FD1">
        <w:rPr>
          <w:rFonts w:ascii="Verdana" w:eastAsia="Times New Roman" w:hAnsi="Verdana" w:cs="Times New Roman"/>
          <w:b/>
          <w:bCs/>
          <w:color w:val="000000"/>
          <w:kern w:val="0"/>
          <w:sz w:val="18"/>
          <w:szCs w:val="18"/>
          <w:lang w:eastAsia="ru-RU"/>
        </w:rPr>
        <w:t>ГЛАВА 2. Системные характеристики особенной части уголовного кодекса российской федерации 64</w:t>
      </w:r>
    </w:p>
    <w:p w14:paraId="3D060A9F"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1. Внешние факторы, влияющие на систему Особенной части УК РФ 64</w:t>
      </w:r>
    </w:p>
    <w:p w14:paraId="2BD25718"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2. Элементы системы Особенной части УК РФ 98</w:t>
      </w:r>
    </w:p>
    <w:p w14:paraId="3F640BAF"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3. Межэлементные связи и структура системы Особенной части УК РФ 118</w:t>
      </w:r>
    </w:p>
    <w:p w14:paraId="7C211BDA"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FD1">
        <w:rPr>
          <w:rFonts w:ascii="Verdana" w:eastAsia="Times New Roman" w:hAnsi="Verdana" w:cs="Times New Roman"/>
          <w:b/>
          <w:bCs/>
          <w:color w:val="000000"/>
          <w:kern w:val="0"/>
          <w:sz w:val="18"/>
          <w:szCs w:val="18"/>
          <w:lang w:eastAsia="ru-RU"/>
        </w:rPr>
        <w:t>ГЛАВА 3. Совершенствование системы особенной части уголовного кодекса Российской Федерации 146</w:t>
      </w:r>
    </w:p>
    <w:p w14:paraId="1D366DE3"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Заключение 168</w:t>
      </w:r>
    </w:p>
    <w:p w14:paraId="4C226253" w14:textId="77777777" w:rsidR="005D1FD1" w:rsidRPr="005D1FD1" w:rsidRDefault="005D1FD1" w:rsidP="005D1F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FD1">
        <w:rPr>
          <w:rFonts w:ascii="Verdana" w:eastAsia="Times New Roman" w:hAnsi="Verdana" w:cs="Times New Roman"/>
          <w:color w:val="000000"/>
          <w:kern w:val="0"/>
          <w:sz w:val="18"/>
          <w:szCs w:val="18"/>
          <w:lang w:eastAsia="ru-RU"/>
        </w:rPr>
        <w:t>Список использованных источников 178</w:t>
      </w:r>
    </w:p>
    <w:p w14:paraId="29072994" w14:textId="77777777" w:rsidR="005D1FD1" w:rsidRDefault="005D1FD1" w:rsidP="005D1FD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Цели, задачи и функции системы Особенной части УК РФ</w:t>
      </w:r>
    </w:p>
    <w:p w14:paraId="12D2E8A3"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определение и индивидуализация объектов, нуждающихся в уголовно-правовой охране, — это задача Особенной части УК РФ. В рамках Общей части УК РФ следует определить общую задачу всего уголовного закона в виде охраны личности, общества, государства, мира и безопасности человечества от общественно опасных посягательств, а также предупреждения преступлений.</w:t>
      </w:r>
    </w:p>
    <w:p w14:paraId="40336ED6"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обобщенная задача позволит согласовать положения Общей и Особенной частей УК РФ, и это не будет нарушением принципа законности, так как и в настоящий момент, и при предложенных изменениях в ч. 1 ст. 2 УК РФ взаимосвязанные положения ч. 2 ст. 2, ст. 3 УК РФ обязывают законодателя определять и криминализировать признаки составов преступлений, что, в соответствии со ст. 8 УК РФ, служит единственным основанием уголовной ответственности.</w:t>
      </w:r>
    </w:p>
    <w:p w14:paraId="102FD55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Определенные задачи требуют соответствующих функций. Говоря о функциях уголовного закона и его Особенной части, необходимо отметить, что под функцией системы следует понимать ее свойство в динамике, приводящее к выполнению задач и способствующее стремлению системы к реализации ее целей. Система не может функционировать изолированно, она должна </w:t>
      </w:r>
      <w:r>
        <w:rPr>
          <w:rFonts w:ascii="Verdana" w:hAnsi="Verdana"/>
          <w:color w:val="000000"/>
          <w:sz w:val="18"/>
          <w:szCs w:val="18"/>
        </w:rPr>
        <w:lastRenderedPageBreak/>
        <w:t>взаимодействовать с внешними по отношению к ней системами и явлениями, сохраняя свое внутренне равновесие. Для характеристики проявлений функционирования системных объектов в рамках теории систем принято выделять внутренние и внешние функции.</w:t>
      </w:r>
    </w:p>
    <w:p w14:paraId="161957E2"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Внешние функции — это реакции системы на среду и их связи между собой. Для них характерны: устойчивость и стабильность, когда система постоянно проявляет себя; направленность, т. е. функция обязательно на что-то нацелена, она предметна; взаимодействие со средой, поскольку функция не сводится только к воздействию на среду; активность и целенаправленность.</w:t>
      </w:r>
    </w:p>
    <w:p w14:paraId="654D3FA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внешних функций, которые ориентированы на реализацию целей системы, внутренние регулируют процессы внутри системы. Любая система будет способна воздействовать со средой при целостности и внутренней сбалансированности, т. е. когда обеспечиваются проявление и существование ее частей во взаимодействии внутри целого.</w:t>
      </w:r>
    </w:p>
    <w:p w14:paraId="5F90FA7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Задачам по охране общественных отношений и предупреждению совершения преступлений соответствуют внешние функции. Применительно к уголовному закону и его Особенной части они будут совпадать с функциями уголовного права и представ</w:t>
      </w:r>
    </w:p>
    <w:p w14:paraId="57E54B32"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лять собой активные, направленные воздействия системы на окружающую среду (общественные отношения).</w:t>
      </w:r>
    </w:p>
    <w:p w14:paraId="12829E33"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внешних функций является охранительная, суть ее сводится к охране общественных отношений, определенных благ, интересов, прав и свобод. Данная функция единственная, ее наличие не вызывает сомнений у представителей науки уголовного права. В общей теории права исходят из того, что уголовное право — это охранительная отрасль, ее нормы не устанавливают прав и обязанностей для субъектов правоотношений, а определяют меры государственного воздействия на правонарушителя, обладают только вышеназванной функцией.</w:t>
      </w:r>
    </w:p>
    <w:p w14:paraId="37FBC69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юридической литературе указывается: «УК РФ выполняет охранительную и предупредительную функции. Он реализует их путем установления основания уголовной ответственности и принципов уголовного права, определения действия уголовного закона, понятия преступления, системы наказания и освобождения от него, криминализации деяний и пенализации преступлений» . В. Д. Филимонов, посвятивший исследованию охранительной функции уголовного права отдельную монографию, считает, что по своему социальному содержанию она «осуществляемая уголовным правом охрана личности, общества и государства путем принуждения лиц, способных совершить или совершивших преступления, к законопослушному поведению, а также путем поощрения такого их поведения, которое ведет к отказу от совершения преступлений и предотвращению их общественно опасных последствий» . Далее он же констатирует, что по своему правовому содержанию охранительная функция «представляет собой осуществление задач уголовного законодательства путем содержащихся в его правовых нормах запретов совершать преступные посягательства... стимулирования поведения, направленного на предупреждение преступлений, а также путем правовых предписаний, регулирующих применение уголовной ответственности и наказания...» . Вполне исчерпывающе.</w:t>
      </w:r>
    </w:p>
    <w:p w14:paraId="50FF8F29"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нашему мнению, охранительная функция уголовного закона существует в первую очередь благодаря Особенной части УК РФ. Сами установления Общей части УК РФ не создают реальной возможности для охраны тех или иных общественных отношений. Если бы не было Особенной части и задач, которые решаются ею, то отсутствовал бы определенный объект, нуждающийся в охране.</w:t>
      </w:r>
    </w:p>
    <w:p w14:paraId="77240A1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Мы не отрицаем, что для всесторонней охраны общественных отношений важную роль играют концептуальные положения, содержащиеся в Общей части УК РФ, в частности регламентация оснований ответственности, наказания, освобождения от них и др., но без установления запрета совершения конкретных деяний, представляющих общественную опасность, все остальное фикция, абстрактные предписания, не имеющие под собой основания.</w:t>
      </w:r>
    </w:p>
    <w:p w14:paraId="3CA3C0F0"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ст. 2 УК РФ указывают на задачу уголовного закона в целом, но только в Особенной части УК РФ содержатся нормы, устанавливающие запреты, которые дифференцируют объект охраны, делая возможным и эффективным данную функцию. Такое утверждение полностью соотносится и с задачами Особенной части УК РФ, обозначенными нами ранее.</w:t>
      </w:r>
    </w:p>
    <w:p w14:paraId="712D940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Охранительная функция бесспорно присуща и уголовному закону, но только Особенной части УК РФ свойственна функция охраны конкретных общественных отношений и от тех деяний, которые причиняют или создают угрозу причинения им вреда. Так, задача охраны прав и свобод личности может быть решена только за счет реализации предписаниями Особенной части УК РФ функции охраны жизни и здоровья человека, его половой свободы и неприкосновенности, свободы, чести и достоинства, а также конституционных прав и свобод.</w:t>
      </w:r>
    </w:p>
    <w:p w14:paraId="7C94860A"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Особенной части УК РФ устанавливаются определенные признаки конкретных составов преступлений, тем самым закрепляется уголовно-правовой запрет, который создает препятствия для совершения преступлений. Само существование Особенной части УК РФ — наиболее яркое проявление общей превенции.</w:t>
      </w:r>
    </w:p>
    <w:p w14:paraId="68E7222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предупредительной функции по-разному решается в уголовной доктрине, причем в целом ее наличие не оспаривается. Разница заключается только в том, выделять ее в качестве отдельной самостоятельной функции или нет. Так, В. В. Похмелкин указывал, что охрана наиболее важных общественных отношений от преступных посягательств происходит за счет предупреждения совершения преступлений и восстановления нарушенных отношений</w:t>
      </w:r>
    </w:p>
    <w:p w14:paraId="0615D0AB" w14:textId="77777777" w:rsidR="005D1FD1" w:rsidRDefault="005D1FD1" w:rsidP="005D1F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системы Особенной части в отечественном уголовном законодательстве</w:t>
      </w:r>
    </w:p>
    <w:p w14:paraId="0DF2E0D4"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Руководящие начала 1919 г. — первый обобщенный нормативный правовой акт уголовно-правовой направленности после Октябрьской революции. Они были нацелены на регламентацию общих положений уголовного права, а также включали в себя процессуальные нормы. В качестве плюса можно отметить п. 1, раскрывающий понятие права как «систему (порядок) общественных отношений, соответствующую интересам господствующего класса и охраняемая организованной его силой» . Ценность данного положения заключается в том, что оно особо подчеркивает системный </w:t>
      </w:r>
      <w:r>
        <w:rPr>
          <w:rFonts w:ascii="Verdana" w:hAnsi="Verdana"/>
          <w:color w:val="000000"/>
          <w:sz w:val="18"/>
          <w:szCs w:val="18"/>
        </w:rPr>
        <w:lastRenderedPageBreak/>
        <w:t>характер права, делает упор на упорядоченности, что свидетельствует о необходимости наличия структуры, а это стремление к глубоким связям между элементами системы.</w:t>
      </w:r>
    </w:p>
    <w:p w14:paraId="39A7DB0A"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РСФСР вступил в силу 1 июня 1922 г. , Особенная часть которого приобрела большую целостность: в ней имелось определенное единство элементов в виде уголовно-правовых норм, которые были выстроены определенным образом и объединялись в подсистемы. Можно проследить попытку выделения единого системообразующего критерия в виде общественных отношений как объекта уголовно-правовой охраны. Особенная часть включала в себя 169 статей, объединенных в 8 глав.</w:t>
      </w:r>
    </w:p>
    <w:p w14:paraId="778AE70C"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Разделы формировались по общности охраняемых общественных отношений, что позволяет говорить о существовании родовых объектов, расположение которых отражало их ценность в порядке убывания в условиях социалистической реальности того периода (государственные преступления — должностные преступления — нарушающие правила отделения церкви от государства — хозяйственные — против личности — имущественные — воинские — нарушающие здоровье населения, общественную безопасность и публичный порядок).</w:t>
      </w:r>
    </w:p>
    <w:p w14:paraId="26CE9E17"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уголовного законодательства первой четверти XX в. заключалась в том, что, наряду с УК РСФСР 1922 г., существовали и иные нормативные акты уголовно-правового характера. Кроме того, допускалась аналогия закона (ст. 10). Классификация преступлений в Особенной части проводилась, с одной стороны, по объекту преступления, например в преступлениях против личности (родовой объект — личность или общественные отношения в сфере существования личности) выделялся видовой объект — половая свобода и неприкосновенность как часть общественных отношений в рамках родового, а с другой — по объективной стороне преступления, т. е. по особенностям выражения преступления вовне, например таких видов преступлений, как убийство, причинение телесных повреждений, оставление в опасности. Так, глава 5 «Преступления против жизни, здоровья, свободы и достоинства личности» начиналась с раздела «Убийство», затем располагался раздел 2 «Телесные повреждения и насилие над личностью» .</w:t>
      </w:r>
    </w:p>
    <w:p w14:paraId="5F938D07"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отсутствия единого системообразующего критерия, весьма специфично содержание отдельных подразделов в части соотношения видового и непосредственного объекта. Так, в раздел об убийстве были включены нормы о прерывании беременности (ст. 146 УК РСФСР 1922 г.); принуждение к занятию проституцией относилось к преступлениям «в области половых отношений» ; среди иных посягательств на личность и ее достоинство были названы: хулиганство (ст. 176), заведомо ложный донос (ст. 177), заведомо ложные показания (ст. 178).</w:t>
      </w:r>
    </w:p>
    <w:p w14:paraId="3A9639FB"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все вышеуказанное, Особенная часть УК РСФСР 1922 г. демонстрировала развитие системных начал в уголовном праве и уголовном законодательстве, так как создание именно Кодекса показывало стремление к переосмыслению содержания уголовно-правовых запретов, построению эффективной системы уголовно-правового регулирования в части полной, целостной законодательной регламентации.</w:t>
      </w:r>
    </w:p>
    <w:p w14:paraId="303B365D"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Там же. Там же. законодатель отказался от деления глав Особенной части на разделы . Она дополнилась новыми составами преступлений. Полагаем нет необходимости перечислять их все, </w:t>
      </w:r>
      <w:r>
        <w:rPr>
          <w:rFonts w:ascii="Verdana" w:hAnsi="Verdana"/>
          <w:color w:val="000000"/>
          <w:sz w:val="18"/>
          <w:szCs w:val="18"/>
        </w:rPr>
        <w:lastRenderedPageBreak/>
        <w:t>отметим лишь то, что сохранилась несогласованность между непосредственными объектами и видовыми, что не способствует установлению прочных, глубинных связей между элементами. Такое положение препятствовало формированию четкой структуры, а следовательно, мешало достижению эффективного функционирования системы. В свою очередь, увеличение нормативных предписаний свидетельствовало о более полной охране общественных отношений, что обусловливало наличие более глубинных внешних связей Особенной части УК РСФСР 1926 г. и внешней среды. К тому же факт количественного увеличения способствовал активизации процесса качественных изменений.</w:t>
      </w:r>
    </w:p>
    <w:p w14:paraId="6AA16201"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первые десятилетия XX в. существование Особенной части вообще ставилось под сомнение, как и ценность кодификации. Так, М. Ю. Козловский считал, что кодификация — «это напрасный труд», который отвлекает власти от непосредственной борьбы с преступностью . П. И. Стучка предлагал строить уголовный закон по принци-пу: «вопрос — ответ» . По мнению Народного комиссара юстиции РСФСР Н. В. Крыленко, необходимы сокращение количества преступлений, перечни общих преступлений в кодексе, при этом у судьи должно быть право отступать от них .</w:t>
      </w:r>
    </w:p>
    <w:p w14:paraId="4C39A07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характерная черта рассматриваемого исторического периода— это подверженность уголовно-правовых систем сильному одностороннему влиянию внешней среды, что выражалось в искусственном ограничении ее функционирования путем расширительного толкования уголовно-правовых запретов правоприменителем и применения аналогии. Данная тенденция развития уголовного законодательства сохранялась на протяжении последующих десятилетий. Особо не останавливаясь на характеристике уголовно-правовых актов в 1930-40-е гг., отметим, что нарушение основополагающих принципов законности, гуманизма, справедливости не оказало положительного влияния на систематизацию уголовно-правовых предписаний</w:t>
      </w:r>
    </w:p>
    <w:p w14:paraId="59CF03B3" w14:textId="77777777" w:rsidR="005D1FD1" w:rsidRDefault="005D1FD1" w:rsidP="005D1F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Элементы системы Особенной части УК РФ</w:t>
      </w:r>
    </w:p>
    <w:p w14:paraId="75CDC284"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не единственные примеры подобного воздействия решений Конституционного Суда РФ на систему Особенной части УК РФ, но они наглядно демонстрируют их интерпретационное значение.</w:t>
      </w:r>
    </w:p>
    <w:p w14:paraId="71AC2FA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Вторым направлением воздействия, обладающего стабилизирующим характером, является, во-первых, признание отдельных положений уголовного закона неконституционными, во-вторых, установление критериев формализации уголовно-правовых запретов.</w:t>
      </w:r>
    </w:p>
    <w:p w14:paraId="75ACCA25"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первого проявления указанного воздействия необходимо отметить, что Конституционный Суд РФ не создает новых уголовно-правовых норм Особенной части УК РФ, он путем признания неконституционными отдельных положений уголовного закона исключает из системы те элементы, которые не соответствуют его целям и задачам. Примеров подобных решений, касающихся Особенной части УК РФ, немного, что представляется оправданным и обоснованным самим Конституционным Судом РФ.</w:t>
      </w:r>
    </w:p>
    <w:p w14:paraId="00D3DB5E"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неоднократно отмечалось в его решениях, установление уголовно-правовых запретов (а в аспекте нашего исследования создание элементов системы Особенной части УК РФ) — это дискреционные полномочия законодателя. В частности, Конституционный Суд РФ указывает: </w:t>
      </w:r>
      <w:r>
        <w:rPr>
          <w:rFonts w:ascii="Verdana" w:hAnsi="Verdana"/>
          <w:color w:val="000000"/>
          <w:sz w:val="18"/>
          <w:szCs w:val="18"/>
        </w:rPr>
        <w:lastRenderedPageBreak/>
        <w:t>«...исходя из сформулированных в Конституции (ст. ст. 1, 2, 18, 49, 50, 51, 52 и 54) основных начал взаимоотношений государства и личности в сфере уголовного права и процесса, федеральный законодатель реализует принадлежащие ему в силу статей 71 (пп. "в" и "о"), 72 (п. "б" ч. 1) и 76 (чч. 1 и 2) Конституции полномочия по регулированию и защите прав и свобод человека и гражданина, обеспечению законности, правопорядка и общественной безопасности и в предусмотренных Конституцией пределах (ч. 3 ст. 55) определяет содержание положений уголовного закона, в том числе устанавливает преступность тех или иных общественно опасных деяний, их наказуемость и иные уголовно-правовые последствия совершения лицом преступления» .</w:t>
      </w:r>
    </w:p>
    <w:p w14:paraId="5A93443E"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определении от 29 мая 2007 г. № 515-0-0 Суд отклонил доводы заявителя о том, что ст. 293 УК РФ не защищает интересов лиц, которым в результате халатности был нанесен ущерб на меньшую сумму, нежели указана в диспозиции этой статьи, либо если причинен иной, не материальный вред. Конституционный Суд России указал, что исходя из п. «о» ст. 71 и ч. 1 ст. 76 Конституции уголовное законодательство относится к ведению Российской Федерации и в силу этого федеральный законодатель в установленных Конституцией РФ пределах уполномочен самостоятельно определять содержание положений уголовного закона, объективные и субъективные признаки составов преступлений, виды и размеры наказаний за их совершение. В связи с этим неустановление федеральным законодательством уголовной ответственности за те или иные деяния не нарушает конституционных прав граждан, в отношении которых эти деяния совершены, и не препятствует использованию гражданами в целях защиты своих прав и законных интересов иных правовых средств .</w:t>
      </w:r>
    </w:p>
    <w:p w14:paraId="5EADE6F9"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Имеющиеся примеры признания отдельных положений Особенной части УК РФ неконституционным, наглядно показывают характер воздействия решений Конституционного Суда РФ. Так, постановлением от 27 мая 2008 г. № 8-П «По делу о проверке конституционности положения части первой статьи 188 Уголовного кодекса Российской Федерации в связи с жалобой гражданки М. А. Асламазян», нормативное положение ч. 1 ст. 188 УК РФ признано не соответствующим Конституции Российской Федерации. В решении Конституционного Суда отмечается, что «введя в правовое регулирование нормативное положение, устанавливающее уголовную ответственность за контрабанду валюты, которое в силу своей неопределенности не позволяет отграничить преступление от аналогичного ему по объективной стороне административного правонарушения, федеральный законодатель — в нарушение Конституции Российской Федерации и международных обязательств Российской Федерации — создал возможность произвольного применения этого положения и недопустимой подмены административной ответственности уголовной...» . Конституционный Суд РФ указал, что сумма перемещаемой через границу РФ валюты и ее размер должны определяться за вьшетом суммы, разрешенной для перемещения через границу без декларирования.</w:t>
      </w:r>
    </w:p>
    <w:p w14:paraId="5082CBB4"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Положения ч. 1 ст. 188 УК РФ применялись с учетом данного решения Конституционного Суда РФ до 2011 г., пока ст. 188 УК РФ не была декриминализирована, однако в 2013 г. законодатель включил в Особенную часть УК РФ ст. 200 , предусматривающую ответственность за контрабанду наличных денежных средств и (или) денежных инструментов, установив в примечании 3 к данной </w:t>
      </w:r>
      <w:r>
        <w:rPr>
          <w:rFonts w:ascii="Verdana" w:hAnsi="Verdana"/>
          <w:color w:val="000000"/>
          <w:sz w:val="18"/>
          <w:szCs w:val="18"/>
        </w:rPr>
        <w:lastRenderedPageBreak/>
        <w:t>статье, что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p>
    <w:p w14:paraId="44CD8BC9"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обозначенных выше положений о характере воздействия решений Конституционного Суда РФ на систему Особенной части УК РФ, они устанавливают важные критерии формализации уголовно-правовых запретов, что является важной составляющей системности Особенной части УК РФ и всего уголовного закона.</w:t>
      </w:r>
    </w:p>
    <w:p w14:paraId="1C787E3B"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в постановлении от 27 мая 2008 г. № 8-П обратился к принципу формальной определенности нормы уголовного закона, указав, что «принцип формальной определенности закона, предполагающий точность и ясность законодательных предписаний, будучи неотъемлемым элементом верховенства права, выступает как в законотворческой, так и в правоприменительной деятельности в качестве необходимой гарантии обеспечения эффективной защиты от произвольных преследования, осуждения и наказания. Уголовная ответственность может считаться законно установленной и отвечающей требованиям статьи 55 (часть 3) Конституции лишь при условии, что она адекватна общественной опасности преступления и что уголовный закон ясно и четко определяет признаки этого преступления, отграничивая его от иных противоправных и тем более — от законных деяний».</w:t>
      </w:r>
    </w:p>
    <w:p w14:paraId="558F599A"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 других решениях отмечается, «любое преступление, а равно и меры уголовной ответственности за его совершение должны быть четко определены в законе, причем таким образом, чтобы исходя из текста соответствующей нормы — в случае необходимости с помощью толкования, данного ей судами, — каждый мог предвидеть уголовно-правовые последствия своих действий (бездействия)» .</w:t>
      </w:r>
    </w:p>
    <w:p w14:paraId="776D3D50"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Описанные выше способы воздействия решений Конституционного Суда РФ на систему Особенной части УК РФ присущи и решениям Европейского суда по правам человека, однако только в части толкования отдельных понятий, используемых в том числе и российским законодателем при конструировании уголовно-правовых запретов и соответствия элементов системы целям уголовного закона.</w:t>
      </w:r>
    </w:p>
    <w:p w14:paraId="34D61422" w14:textId="77777777" w:rsidR="005D1FD1" w:rsidRDefault="005D1FD1" w:rsidP="005D1F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Межэлементные связи и структура системы Особенной части УК РФ</w:t>
      </w:r>
    </w:p>
    <w:p w14:paraId="13CF2FC0"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степени общественной опасности 47% опрошенных поставили на первое место посягательства на личность и преступления против мира и безопасности человечества (законодатель расположил данные посягательства на последнем месте). На втором месте — преступления против общественной безопасности и общественного порядка (37%). Преступления в сфере экономики, помещенные законодателем на второе место, по мнению 31% респондентов, </w:t>
      </w:r>
      <w:r>
        <w:rPr>
          <w:rFonts w:ascii="Verdana" w:hAnsi="Verdana"/>
          <w:color w:val="000000"/>
          <w:sz w:val="18"/>
          <w:szCs w:val="18"/>
        </w:rPr>
        <w:lastRenderedPageBreak/>
        <w:t>должны находиться на последнем месте. Наименее общественно опасны, на взгляд 38% опрошенных, преступления против военной службы.</w:t>
      </w:r>
    </w:p>
    <w:p w14:paraId="0E679299"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ценным благом жизнь и здоровье считают 64% респондентов, мир и безопасность человечества — 24%, второе и третье место совпали с действующей системой Особенной части УК РФ — свобода личности (28%) и половая свобода и неприкосновенность, четвертое место — общественная безопасность (20%) (законодателем расположена на 9-м месте), далее в порядке убывания — собственность, интересы семьи и несовершеннолетних, здоровье населения и общественная нравственность, окружающая среда, интересы правосудия, конституционные права и свободы человека и гражданина, основы конституционного строя и безопасности государства, государственная власть и интересы государственной службы и службы в органах местного самоуправления, порядок управления, преступления в сфере экономической деятельности, транспортная безопасность, компьютерная безопасность, интересы военной службы, интересы службы в коммерческих и иных организациях.</w:t>
      </w:r>
    </w:p>
    <w:p w14:paraId="366FB3C0"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Аналогичные опросы, проведенные среди правоприменителей, показали, что большинство респондентов по ценности на первое место ставят жизнь и здоровье — 59,4%; мир и безопасность человечества — 26,0% (причем лишь 1,0% респондентов поставили главу 34 УК РФ на последнее место). Одинаковое количество правоприменителей на последнее место поставили интересы военной службы и интересы службы в коммерческих и иных организациях — 29%. На предпоследнее 18-е место 24% опрошенных определили информационную безопасность (глава 28), которая законодателем расположена на 13-м месте в системе Особенной части УК РФ. Собственность (законодательно — 6-е место) наибольшее количество опрошенных поставили на 12-е место, эконо 135 мическую деятельность — на 14-е место (в УК РФ — 7-е место). Сильно разнятся определения ценности общественной безопасности, данные законодателем и правоприменителями. Легально глава 27 расположена лишь на 12-м месте в системе Особенной части УК РФ, 20% респондентов поставили ее на 9-е место. Как более ценное благо оценили основы конституционного строя и безопасности государства (10-е место); порядок управления — 11-е место.</w:t>
      </w:r>
    </w:p>
    <w:p w14:paraId="764FA11E"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степени общественной опасности правоприменители на первое место поставили преступления против личности (47%), на второе — преступления против мира и безопасности человечества (41%), на третье— преступления против общественной безопасности и общественного порядка (34%). Наименее общественно опасными считают преступления против военной службы — 60%.</w:t>
      </w:r>
    </w:p>
    <w:p w14:paraId="67E4E9F7"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указанного, структурирование Особенной части УК РФ и иерархия определенных в ней объектов уголовно-правовой охраны не соотносятся и со степенью общественной опасности преступлений, расположенных в тех или и иных главах. Так, по среднеарифметической сумме сроков лишения свободы наиболее строго наказываются посягательства на основы конституционного строя — 9,1 года (в системе Особенной части УК РФ — 14-е место), деяния, названные в главе 34, — 8,9 года (последнее 19-е место), правонарушения, перечисленные в главе 18, — 8,8 года. Наименее строго наказываются посягательства на конституционные права и свободы — 1,6 года (в системе — 4-е место), на окружающую среду — 2,3. Жизнь и здоровье, поставленные </w:t>
      </w:r>
      <w:r>
        <w:rPr>
          <w:rFonts w:ascii="Verdana" w:hAnsi="Verdana"/>
          <w:color w:val="000000"/>
          <w:sz w:val="18"/>
          <w:szCs w:val="18"/>
        </w:rPr>
        <w:lastRenderedPageBreak/>
        <w:t>на первое место в системе Особенной части УК РФ, по строгости наказания располагаются на 13-м месте из 19 и т. д.</w:t>
      </w:r>
    </w:p>
    <w:p w14:paraId="53F0A27D"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Вышеизложенные аргументы позволяют сделать вывод, что существующий подход структурирования Особенной части УК РФ нельзя признать эффективным, с точки зрения системности уголовного закона, ввиду чего он нуждается в своем совершенствовании. При этом любой вариант с использованием объекта уголовно-правовой охраны в качестве системообразующего критерия, по нашему мнению, приведет к тем же проблемам, которые назывались ранее.</w:t>
      </w:r>
    </w:p>
    <w:p w14:paraId="5196759E"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полное представление структуры Особенной части УК РФ с учетом мнения правоприменителей и населения, указанного нами ранее, невозможно в силу большой разницы и частых совпадений количества процентов опрошенных лиц за тот или иной объект охраны, что показывает равнозначную оценку общественной опасности причинения вреда разным отношениям и не способствует иерархическому построению системы Особенной части УК РФ</w:t>
      </w:r>
    </w:p>
    <w:p w14:paraId="142B10E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если расположить разделы и главы в соответствии с ожиданиями населения, что должно отражаться законодателем в санкциях статей Особенной части, а также с учетом уже использованного определения общественной опасности в статьях Особенной части УК РФ, то нужно поставить на первое место преступления против мира и безопасности человечества, далее в порядке убывания: преступления против общественной безопасности и общественного порядка, преступления против государственной власти, преступления против личности, преступления в сфере экономики, преступления против военной службы.</w:t>
      </w:r>
    </w:p>
    <w:p w14:paraId="53354ED4"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подобный подход не устраняет в структуре Особенной части УК РФ формально-логических неточностей и пробелов. Перестройка разделов не решает вопроса расположения глав. Общественные представления отличны от видения структурализации Особенной части УК РФ практиками. В частности, мнения совпали только по расположению глав в рамках раздела преступлений против личности, в которой в порядке убывания должны располагаться преступления против жизни и здоровья, преступления против свободы, чести и достоинства личности, преступления против половой свободы и неприкосновенности личности, далее респонденты поставили преступления против семьи и несовершеннолетних и в заключение раздела — преступления против конституционных прав и свобод человека и гражданина.</w:t>
      </w:r>
    </w:p>
    <w:p w14:paraId="3F1E0916"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Относительно раздела, посвященного преступлениям в сфере экономики, позиции опрошенных и законодателя совпадают в том, что более общественно опасны преступления против собственности, затем — преступления в сфере экономической деятельности, менее опасны преступления против интересов службы в коммерческих и иных организациях. Что касается расположения глав в разделе преступлений против общественной безопасности и общественного порядка, то мнение населения совпадает с законодательным. В то время как правоприменители поменяли бы структуру данного раздела, разместив главы в следующем порядке: преступления против здоровья населения и общественной нравственности, преступления против общественной </w:t>
      </w:r>
      <w:r>
        <w:rPr>
          <w:rFonts w:ascii="Verdana" w:hAnsi="Verdana"/>
          <w:color w:val="000000"/>
          <w:sz w:val="18"/>
          <w:szCs w:val="18"/>
        </w:rPr>
        <w:lastRenderedPageBreak/>
        <w:t>безопасности, эколо 137 гические преступления, преступления против безопасности движения и эксплуатации транспорта, преступления в сфере компьютерной информации.</w:t>
      </w:r>
    </w:p>
    <w:p w14:paraId="7E4F644F"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Иначе, чем у законодателя, должен быть построен раздел, содержащий преступления против государственной власти. При этом практические работники на первом месте оставили бы преступления против основ конституционного строя и безопасности государства, далее в порядке убывания: преступления против порядка управления, должностные преступления (глава 30), преступления против правосудия. С точки зрения населения, интересы правосудия должны быть на первом месте в разделе преступлений против государственной власти, далее — основы конституционного строя и безопасность государства, порядок управления и должностные преступления.</w:t>
      </w:r>
    </w:p>
    <w:p w14:paraId="46C82A4D"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доктринальные подходы (в своем большинстве) признают необходимость расположения на первом месте охраны мира и безопасности человечества, а также интересов общественной и государственной безопасности, что соответствует политическим реалиям и отражается законодателем в санкциях соответствующих составов преступлений. Полагаем возможным согласиться с мнением М. В. Бавсуна, что такое решение может рассматриваться «целесообразным» , и законодателю при совершенствовании структуры Особенной части УК РФ с учетом объекта уголовно-правовой охраны следует придерживаться данного подхода.</w:t>
      </w:r>
    </w:p>
    <w:p w14:paraId="080BB2B4" w14:textId="77777777" w:rsidR="005D1FD1" w:rsidRDefault="005D1FD1" w:rsidP="005D1FD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приведенные результаты исследований мнения населения и правоприменителей по вопросам иерархии родовых объектов уголовно-правовой охраны и оценки аксиологического значения видовых объектов, научные взгляды по рассматриваемому вопросу, несоответствие порядка расположения структурных уровней уголовного закона и степени общественной опасности преступлений, закрепленной в санкциях статей Особенной части УК РФ, приводят к выводу, что объект преступления как системообразующий критерий не отвечает требованиям построения четкой и непротиворечивой структуры системы Особенной части УК РФ.</w:t>
      </w:r>
    </w:p>
    <w:p w14:paraId="6341CF0A" w14:textId="77777777" w:rsidR="005D1FD1" w:rsidRPr="005D1FD1" w:rsidRDefault="005D1FD1" w:rsidP="005D1FD1"/>
    <w:sectPr w:rsidR="005D1FD1" w:rsidRPr="005D1F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5ED7E" w14:textId="77777777" w:rsidR="00B0419D" w:rsidRDefault="00B0419D">
      <w:pPr>
        <w:spacing w:after="0" w:line="240" w:lineRule="auto"/>
      </w:pPr>
      <w:r>
        <w:separator/>
      </w:r>
    </w:p>
  </w:endnote>
  <w:endnote w:type="continuationSeparator" w:id="0">
    <w:p w14:paraId="6909E9D3" w14:textId="77777777" w:rsidR="00B0419D" w:rsidRDefault="00B0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CC53F" w14:textId="77777777" w:rsidR="00B0419D" w:rsidRDefault="00B0419D">
      <w:pPr>
        <w:spacing w:after="0" w:line="240" w:lineRule="auto"/>
      </w:pPr>
      <w:r>
        <w:separator/>
      </w:r>
    </w:p>
  </w:footnote>
  <w:footnote w:type="continuationSeparator" w:id="0">
    <w:p w14:paraId="4282B13E" w14:textId="77777777" w:rsidR="00B0419D" w:rsidRDefault="00B0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19D"/>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6822</TotalTime>
  <Pages>10</Pages>
  <Words>4293</Words>
  <Characters>24472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795</cp:revision>
  <cp:lastPrinted>2009-02-06T05:36:00Z</cp:lastPrinted>
  <dcterms:created xsi:type="dcterms:W3CDTF">2017-02-26T13:11:00Z</dcterms:created>
  <dcterms:modified xsi:type="dcterms:W3CDTF">2017-04-16T14:17:00Z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