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4F61AD" w:rsidRDefault="004F61AD" w:rsidP="004F61AD">
      <w:pPr>
        <w:tabs>
          <w:tab w:val="clear" w:pos="709"/>
        </w:tabs>
        <w:suppressAutoHyphens w:val="0"/>
        <w:spacing w:after="0" w:line="235" w:lineRule="exact"/>
        <w:ind w:left="20" w:right="20" w:firstLine="300"/>
        <w:rPr>
          <w:rFonts w:ascii="Times New Roman" w:eastAsia="Arial Narrow" w:hAnsi="Times New Roman" w:cs="Times New Roman"/>
          <w:b/>
          <w:bCs/>
          <w:color w:val="000000"/>
          <w:kern w:val="0"/>
          <w:sz w:val="24"/>
          <w:szCs w:val="24"/>
          <w:lang w:val="uk-UA" w:eastAsia="uk-UA" w:bidi="uk-UA"/>
        </w:rPr>
      </w:pPr>
    </w:p>
    <w:p w:rsidR="00694317" w:rsidRDefault="00694317" w:rsidP="00694317">
      <w:pPr>
        <w:tabs>
          <w:tab w:val="clear" w:pos="709"/>
        </w:tabs>
        <w:suppressAutoHyphens w:val="0"/>
        <w:spacing w:after="0" w:line="235" w:lineRule="exact"/>
        <w:ind w:left="20" w:right="20" w:firstLine="300"/>
        <w:rPr>
          <w:lang w:val="uk-UA"/>
        </w:rPr>
      </w:pPr>
    </w:p>
    <w:p w:rsidR="00787A40" w:rsidRDefault="00787A40" w:rsidP="00787A40">
      <w:pPr>
        <w:tabs>
          <w:tab w:val="clear" w:pos="709"/>
        </w:tabs>
        <w:suppressAutoHyphens w:val="0"/>
        <w:spacing w:after="0" w:line="235" w:lineRule="exact"/>
        <w:ind w:left="20" w:right="20" w:firstLine="300"/>
        <w:rPr>
          <w:lang w:val="uk-UA"/>
        </w:rPr>
      </w:pPr>
      <w:r w:rsidRPr="00787A40">
        <w:rPr>
          <w:rFonts w:hint="eastAsia"/>
          <w:lang w:val="uk-UA"/>
        </w:rPr>
        <w:t>Скороход</w:t>
      </w:r>
      <w:r w:rsidRPr="00787A40">
        <w:rPr>
          <w:lang w:val="uk-UA"/>
        </w:rPr>
        <w:t></w:t>
      </w:r>
      <w:r w:rsidRPr="00787A40">
        <w:rPr>
          <w:rFonts w:hint="eastAsia"/>
          <w:lang w:val="uk-UA"/>
        </w:rPr>
        <w:t>Андрій</w:t>
      </w:r>
      <w:r w:rsidRPr="00787A40">
        <w:rPr>
          <w:lang w:val="uk-UA"/>
        </w:rPr>
        <w:t></w:t>
      </w:r>
      <w:r w:rsidRPr="00787A40">
        <w:rPr>
          <w:rFonts w:hint="eastAsia"/>
          <w:lang w:val="uk-UA"/>
        </w:rPr>
        <w:t>Валерійович</w:t>
      </w:r>
      <w:r w:rsidRPr="00787A40">
        <w:rPr>
          <w:lang w:val="uk-UA"/>
        </w:rPr>
        <w:t></w:t>
      </w:r>
      <w:r w:rsidRPr="00787A40">
        <w:rPr>
          <w:lang w:val="uk-UA"/>
        </w:rPr>
        <w:t></w:t>
      </w:r>
      <w:r w:rsidRPr="00787A40">
        <w:rPr>
          <w:rFonts w:hint="eastAsia"/>
          <w:lang w:val="uk-UA"/>
        </w:rPr>
        <w:t>Медико</w:t>
      </w:r>
      <w:r w:rsidRPr="00787A40">
        <w:rPr>
          <w:lang w:val="uk-UA"/>
        </w:rPr>
        <w:t></w:t>
      </w:r>
      <w:r w:rsidRPr="00787A40">
        <w:rPr>
          <w:rFonts w:hint="eastAsia"/>
          <w:lang w:val="uk-UA"/>
        </w:rPr>
        <w:t>соціальне</w:t>
      </w:r>
      <w:r w:rsidRPr="00787A40">
        <w:rPr>
          <w:lang w:val="uk-UA"/>
        </w:rPr>
        <w:t></w:t>
      </w:r>
      <w:r w:rsidRPr="00787A40">
        <w:rPr>
          <w:rFonts w:hint="eastAsia"/>
          <w:lang w:val="uk-UA"/>
        </w:rPr>
        <w:t>обґрунтування</w:t>
      </w:r>
      <w:r w:rsidRPr="00787A40">
        <w:rPr>
          <w:lang w:val="uk-UA"/>
        </w:rPr>
        <w:t></w:t>
      </w:r>
      <w:r w:rsidRPr="00787A40">
        <w:rPr>
          <w:rFonts w:hint="eastAsia"/>
          <w:lang w:val="uk-UA"/>
        </w:rPr>
        <w:t>моделі</w:t>
      </w:r>
      <w:r w:rsidRPr="00787A40">
        <w:rPr>
          <w:lang w:val="uk-UA"/>
        </w:rPr>
        <w:t></w:t>
      </w:r>
      <w:r w:rsidRPr="00787A40">
        <w:rPr>
          <w:rFonts w:hint="eastAsia"/>
          <w:lang w:val="uk-UA"/>
        </w:rPr>
        <w:t>добровільного</w:t>
      </w:r>
      <w:r w:rsidRPr="00787A40">
        <w:rPr>
          <w:lang w:val="uk-UA"/>
        </w:rPr>
        <w:t></w:t>
      </w:r>
      <w:r w:rsidRPr="00787A40">
        <w:rPr>
          <w:rFonts w:hint="eastAsia"/>
          <w:lang w:val="uk-UA"/>
        </w:rPr>
        <w:t>медичного</w:t>
      </w:r>
      <w:r w:rsidRPr="00787A40">
        <w:rPr>
          <w:lang w:val="uk-UA"/>
        </w:rPr>
        <w:t></w:t>
      </w:r>
      <w:r w:rsidRPr="00787A40">
        <w:rPr>
          <w:rFonts w:hint="eastAsia"/>
          <w:lang w:val="uk-UA"/>
        </w:rPr>
        <w:t>страхування</w:t>
      </w:r>
      <w:r w:rsidRPr="00787A40">
        <w:rPr>
          <w:lang w:val="uk-UA"/>
        </w:rPr>
        <w:t></w:t>
      </w:r>
      <w:r w:rsidRPr="00787A40">
        <w:rPr>
          <w:rFonts w:hint="eastAsia"/>
          <w:lang w:val="uk-UA"/>
        </w:rPr>
        <w:t>в</w:t>
      </w:r>
      <w:r w:rsidRPr="00787A40">
        <w:rPr>
          <w:lang w:val="uk-UA"/>
        </w:rPr>
        <w:t></w:t>
      </w:r>
      <w:r w:rsidRPr="00787A40">
        <w:rPr>
          <w:rFonts w:hint="eastAsia"/>
          <w:lang w:val="uk-UA"/>
        </w:rPr>
        <w:t>системі</w:t>
      </w:r>
      <w:r w:rsidRPr="00787A40">
        <w:rPr>
          <w:lang w:val="uk-UA"/>
        </w:rPr>
        <w:t></w:t>
      </w:r>
      <w:r w:rsidRPr="00787A40">
        <w:rPr>
          <w:rFonts w:hint="eastAsia"/>
          <w:lang w:val="uk-UA"/>
        </w:rPr>
        <w:t>бюджетно</w:t>
      </w:r>
      <w:r w:rsidRPr="00787A40">
        <w:rPr>
          <w:lang w:val="uk-UA"/>
        </w:rPr>
        <w:t></w:t>
      </w:r>
      <w:r w:rsidRPr="00787A40">
        <w:rPr>
          <w:rFonts w:hint="eastAsia"/>
          <w:lang w:val="uk-UA"/>
        </w:rPr>
        <w:t>страхової</w:t>
      </w:r>
      <w:r w:rsidRPr="00787A40">
        <w:rPr>
          <w:lang w:val="uk-UA"/>
        </w:rPr>
        <w:t></w:t>
      </w:r>
      <w:r w:rsidRPr="00787A40">
        <w:rPr>
          <w:rFonts w:hint="eastAsia"/>
          <w:lang w:val="uk-UA"/>
        </w:rPr>
        <w:t>медицини</w:t>
      </w:r>
      <w:r w:rsidRPr="00787A40">
        <w:rPr>
          <w:lang w:val="uk-UA"/>
        </w:rPr>
        <w:t></w:t>
      </w:r>
      <w:r w:rsidRPr="00787A40">
        <w:rPr>
          <w:lang w:val="uk-UA"/>
        </w:rPr>
        <w:t></w:t>
      </w:r>
      <w:r w:rsidRPr="00787A40">
        <w:rPr>
          <w:rFonts w:hint="eastAsia"/>
          <w:lang w:val="uk-UA"/>
        </w:rPr>
        <w:t>на</w:t>
      </w:r>
      <w:r w:rsidRPr="00787A40">
        <w:rPr>
          <w:lang w:val="uk-UA"/>
        </w:rPr>
        <w:t></w:t>
      </w:r>
      <w:r w:rsidRPr="00787A40">
        <w:rPr>
          <w:rFonts w:hint="eastAsia"/>
          <w:lang w:val="uk-UA"/>
        </w:rPr>
        <w:t>прикладі</w:t>
      </w:r>
      <w:r w:rsidRPr="00787A40">
        <w:rPr>
          <w:lang w:val="uk-UA"/>
        </w:rPr>
        <w:t></w:t>
      </w:r>
      <w:r w:rsidRPr="00787A40">
        <w:rPr>
          <w:rFonts w:hint="eastAsia"/>
          <w:lang w:val="uk-UA"/>
        </w:rPr>
        <w:t>Сумської</w:t>
      </w:r>
      <w:r w:rsidRPr="00787A40">
        <w:rPr>
          <w:lang w:val="uk-UA"/>
        </w:rPr>
        <w:t></w:t>
      </w:r>
      <w:r w:rsidRPr="00787A40">
        <w:rPr>
          <w:rFonts w:hint="eastAsia"/>
          <w:lang w:val="uk-UA"/>
        </w:rPr>
        <w:t>області</w:t>
      </w:r>
      <w:r w:rsidRPr="00787A40">
        <w:rPr>
          <w:lang w:val="uk-UA"/>
        </w:rPr>
        <w:t></w:t>
      </w:r>
      <w:r w:rsidRPr="00787A40">
        <w:rPr>
          <w:lang w:val="uk-UA"/>
        </w:rPr>
        <w:t></w:t>
      </w:r>
      <w:r w:rsidRPr="00787A40">
        <w:rPr>
          <w:lang w:val="uk-UA"/>
        </w:rPr>
        <w:t></w:t>
      </w:r>
      <w:r w:rsidRPr="00787A40">
        <w:rPr>
          <w:lang w:val="uk-UA"/>
        </w:rPr>
        <w:t></w:t>
      </w:r>
      <w:r w:rsidRPr="00787A40">
        <w:rPr>
          <w:rFonts w:hint="eastAsia"/>
          <w:lang w:val="uk-UA"/>
        </w:rPr>
        <w:t>Дисертація</w:t>
      </w:r>
      <w:r w:rsidRPr="00787A40">
        <w:rPr>
          <w:lang w:val="uk-UA"/>
        </w:rPr>
        <w:t></w:t>
      </w:r>
      <w:r w:rsidRPr="00787A40">
        <w:rPr>
          <w:rFonts w:hint="eastAsia"/>
          <w:lang w:val="uk-UA"/>
        </w:rPr>
        <w:t>канд</w:t>
      </w:r>
      <w:r w:rsidRPr="00787A40">
        <w:rPr>
          <w:lang w:val="uk-UA"/>
        </w:rPr>
        <w:t></w:t>
      </w:r>
      <w:r w:rsidRPr="00787A40">
        <w:rPr>
          <w:lang w:val="uk-UA"/>
        </w:rPr>
        <w:t></w:t>
      </w:r>
      <w:r w:rsidRPr="00787A40">
        <w:rPr>
          <w:rFonts w:hint="eastAsia"/>
          <w:lang w:val="uk-UA"/>
        </w:rPr>
        <w:t>мед</w:t>
      </w:r>
      <w:r w:rsidRPr="00787A40">
        <w:rPr>
          <w:lang w:val="uk-UA"/>
        </w:rPr>
        <w:t></w:t>
      </w:r>
      <w:r w:rsidRPr="00787A40">
        <w:rPr>
          <w:lang w:val="uk-UA"/>
        </w:rPr>
        <w:t></w:t>
      </w:r>
      <w:r w:rsidRPr="00787A40">
        <w:rPr>
          <w:rFonts w:hint="eastAsia"/>
          <w:lang w:val="uk-UA"/>
        </w:rPr>
        <w:t>наук</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rFonts w:hint="eastAsia"/>
          <w:lang w:val="uk-UA"/>
        </w:rPr>
        <w:t>Нац</w:t>
      </w:r>
      <w:r w:rsidRPr="00787A40">
        <w:rPr>
          <w:lang w:val="uk-UA"/>
        </w:rPr>
        <w:t></w:t>
      </w:r>
      <w:r w:rsidRPr="00787A40">
        <w:rPr>
          <w:lang w:val="uk-UA"/>
        </w:rPr>
        <w:t></w:t>
      </w:r>
      <w:r w:rsidRPr="00787A40">
        <w:rPr>
          <w:rFonts w:hint="eastAsia"/>
          <w:lang w:val="uk-UA"/>
        </w:rPr>
        <w:t>мед</w:t>
      </w:r>
      <w:r w:rsidRPr="00787A40">
        <w:rPr>
          <w:lang w:val="uk-UA"/>
        </w:rPr>
        <w:t></w:t>
      </w:r>
      <w:r w:rsidRPr="00787A40">
        <w:rPr>
          <w:lang w:val="uk-UA"/>
        </w:rPr>
        <w:t></w:t>
      </w:r>
      <w:r w:rsidRPr="00787A40">
        <w:rPr>
          <w:rFonts w:hint="eastAsia"/>
          <w:lang w:val="uk-UA"/>
        </w:rPr>
        <w:t>акад</w:t>
      </w:r>
      <w:r w:rsidRPr="00787A40">
        <w:rPr>
          <w:lang w:val="uk-UA"/>
        </w:rPr>
        <w:t></w:t>
      </w:r>
      <w:r w:rsidRPr="00787A40">
        <w:rPr>
          <w:lang w:val="uk-UA"/>
        </w:rPr>
        <w:t></w:t>
      </w:r>
      <w:r w:rsidRPr="00787A40">
        <w:rPr>
          <w:rFonts w:hint="eastAsia"/>
          <w:lang w:val="uk-UA"/>
        </w:rPr>
        <w:t>післядиплом</w:t>
      </w:r>
      <w:r w:rsidRPr="00787A40">
        <w:rPr>
          <w:lang w:val="uk-UA"/>
        </w:rPr>
        <w:t></w:t>
      </w:r>
      <w:r w:rsidRPr="00787A40">
        <w:rPr>
          <w:lang w:val="uk-UA"/>
        </w:rPr>
        <w:t></w:t>
      </w:r>
      <w:r w:rsidRPr="00787A40">
        <w:rPr>
          <w:rFonts w:hint="eastAsia"/>
          <w:lang w:val="uk-UA"/>
        </w:rPr>
        <w:t>освіти</w:t>
      </w:r>
      <w:r w:rsidRPr="00787A40">
        <w:rPr>
          <w:lang w:val="uk-UA"/>
        </w:rPr>
        <w:t></w:t>
      </w:r>
      <w:r w:rsidRPr="00787A40">
        <w:rPr>
          <w:rFonts w:hint="eastAsia"/>
          <w:lang w:val="uk-UA"/>
        </w:rPr>
        <w:t>ім</w:t>
      </w:r>
      <w:r w:rsidRPr="00787A40">
        <w:rPr>
          <w:lang w:val="uk-UA"/>
        </w:rPr>
        <w:t></w:t>
      </w:r>
      <w:r w:rsidRPr="00787A40">
        <w:rPr>
          <w:lang w:val="uk-UA"/>
        </w:rPr>
        <w:t></w:t>
      </w:r>
      <w:r w:rsidRPr="00787A40">
        <w:rPr>
          <w:rFonts w:hint="eastAsia"/>
          <w:lang w:val="uk-UA"/>
        </w:rPr>
        <w:t>П</w:t>
      </w:r>
      <w:r w:rsidRPr="00787A40">
        <w:rPr>
          <w:lang w:val="uk-UA"/>
        </w:rPr>
        <w:t></w:t>
      </w:r>
      <w:r w:rsidRPr="00787A40">
        <w:rPr>
          <w:lang w:val="uk-UA"/>
        </w:rPr>
        <w:t></w:t>
      </w:r>
      <w:r w:rsidRPr="00787A40">
        <w:rPr>
          <w:rFonts w:hint="eastAsia"/>
          <w:lang w:val="uk-UA"/>
        </w:rPr>
        <w:t>Л</w:t>
      </w:r>
      <w:r w:rsidRPr="00787A40">
        <w:rPr>
          <w:lang w:val="uk-UA"/>
        </w:rPr>
        <w:t></w:t>
      </w:r>
      <w:r w:rsidRPr="00787A40">
        <w:rPr>
          <w:lang w:val="uk-UA"/>
        </w:rPr>
        <w:t></w:t>
      </w:r>
      <w:r w:rsidRPr="00787A40">
        <w:rPr>
          <w:rFonts w:hint="eastAsia"/>
          <w:lang w:val="uk-UA"/>
        </w:rPr>
        <w:t>Шупика</w:t>
      </w:r>
      <w:r w:rsidRPr="00787A40">
        <w:rPr>
          <w:lang w:val="uk-UA"/>
        </w:rPr>
        <w:t></w:t>
      </w:r>
      <w:r w:rsidRPr="00787A40">
        <w:rPr>
          <w:lang w:val="uk-UA"/>
        </w:rPr>
        <w:t></w:t>
      </w:r>
      <w:r w:rsidRPr="00787A40">
        <w:rPr>
          <w:lang w:val="uk-UA"/>
        </w:rPr>
        <w:t></w:t>
      </w:r>
      <w:r w:rsidRPr="00787A40">
        <w:rPr>
          <w:lang w:val="uk-UA"/>
        </w:rPr>
        <w:t></w:t>
      </w:r>
      <w:r w:rsidRPr="00787A40">
        <w:rPr>
          <w:rFonts w:hint="eastAsia"/>
          <w:lang w:val="uk-UA"/>
        </w:rPr>
        <w:t>Київ</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lang w:val="uk-UA"/>
        </w:rPr>
        <w:t></w:t>
      </w:r>
      <w:r w:rsidRPr="00787A40">
        <w:rPr>
          <w:rFonts w:hint="eastAsia"/>
          <w:lang w:val="uk-UA"/>
        </w:rPr>
        <w:t>с</w:t>
      </w:r>
      <w:r w:rsidRPr="00787A40">
        <w:rPr>
          <w:lang w:val="uk-UA"/>
        </w:rPr>
        <w:t></w:t>
      </w:r>
    </w:p>
    <w:p w:rsidR="00787A40" w:rsidRDefault="00787A40" w:rsidP="00787A40">
      <w:pPr>
        <w:tabs>
          <w:tab w:val="clear" w:pos="709"/>
        </w:tabs>
        <w:suppressAutoHyphens w:val="0"/>
        <w:spacing w:after="0" w:line="235" w:lineRule="exact"/>
        <w:ind w:left="20" w:right="20" w:firstLine="300"/>
        <w:rPr>
          <w:lang w:val="uk-UA"/>
        </w:rPr>
      </w:pPr>
    </w:p>
    <w:p w:rsidR="00787A40" w:rsidRDefault="00787A40" w:rsidP="00787A40">
      <w:pPr>
        <w:tabs>
          <w:tab w:val="clear" w:pos="709"/>
        </w:tabs>
        <w:suppressAutoHyphens w:val="0"/>
        <w:spacing w:after="0" w:line="235" w:lineRule="exact"/>
        <w:ind w:left="20" w:right="20" w:firstLine="300"/>
        <w:rPr>
          <w:lang w:val="uk-UA"/>
        </w:rPr>
      </w:pPr>
    </w:p>
    <w:p w:rsidR="00787A40" w:rsidRDefault="00787A40" w:rsidP="00787A40">
      <w:pPr>
        <w:tabs>
          <w:tab w:val="clear" w:pos="709"/>
        </w:tabs>
        <w:suppressAutoHyphens w:val="0"/>
        <w:spacing w:after="0" w:line="235" w:lineRule="exact"/>
        <w:ind w:left="20" w:right="20" w:firstLine="300"/>
        <w:rPr>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МІНІСТЕРСТВО ОХОРОНИ ЗДРОВ’Я УКРАЇНИ</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НАЦІОНАЛЬНА МЕДИЧНА АКАДЕМІЯ ПІСЛЯДИПЛОМНОЇ ОСВІТИ </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імені П. Л. ШУПИКА</w:t>
      </w:r>
    </w:p>
    <w:p w:rsidR="00787A40" w:rsidRPr="00787A40" w:rsidRDefault="00787A40" w:rsidP="00787A40">
      <w:pPr>
        <w:tabs>
          <w:tab w:val="clear" w:pos="709"/>
        </w:tabs>
        <w:autoSpaceDE w:val="0"/>
        <w:autoSpaceDN w:val="0"/>
        <w:adjustRightInd w:val="0"/>
        <w:spacing w:after="0" w:line="360" w:lineRule="auto"/>
        <w:ind w:firstLine="709"/>
        <w:jc w:val="right"/>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right"/>
        <w:rPr>
          <w:rFonts w:ascii="Times New Roman CYR" w:eastAsia="Times New Roman" w:hAnsi="Times New Roman CYR" w:cs="Times New Roman CYR"/>
          <w:i/>
          <w:iCs/>
          <w:kern w:val="0"/>
          <w:sz w:val="28"/>
          <w:szCs w:val="28"/>
          <w:lang w:val="uk-UA"/>
        </w:rPr>
      </w:pPr>
      <w:r w:rsidRPr="00787A40">
        <w:rPr>
          <w:rFonts w:ascii="Times New Roman CYR" w:eastAsia="Times New Roman" w:hAnsi="Times New Roman CYR" w:cs="Times New Roman CYR"/>
          <w:i/>
          <w:iCs/>
          <w:kern w:val="0"/>
          <w:sz w:val="28"/>
          <w:szCs w:val="28"/>
          <w:lang w:val="uk-UA"/>
        </w:rPr>
        <w:t>На правах рукопису</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
          <w:bCs/>
          <w:kern w:val="0"/>
          <w:sz w:val="28"/>
          <w:szCs w:val="28"/>
          <w:lang w:val="uk-UA"/>
        </w:rPr>
      </w:pPr>
      <w:r w:rsidRPr="00787A40">
        <w:rPr>
          <w:rFonts w:ascii="Times New Roman CYR" w:eastAsia="Times New Roman" w:hAnsi="Times New Roman CYR" w:cs="Times New Roman CYR"/>
          <w:b/>
          <w:bCs/>
          <w:kern w:val="0"/>
          <w:sz w:val="28"/>
          <w:szCs w:val="28"/>
          <w:lang w:val="uk-UA"/>
        </w:rPr>
        <w:t>СКОРОХОД Андрій Валерійович</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b/>
          <w:bCs/>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righ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УДК 614.2:368:616-082:336.14(477.52)</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
          <w:bCs/>
          <w:kern w:val="0"/>
          <w:sz w:val="28"/>
          <w:szCs w:val="28"/>
          <w:lang w:val="uk-UA"/>
        </w:rPr>
      </w:pPr>
      <w:r w:rsidRPr="00787A40">
        <w:rPr>
          <w:rFonts w:ascii="Times New Roman CYR" w:eastAsia="Times New Roman" w:hAnsi="Times New Roman CYR" w:cs="Times New Roman CYR"/>
          <w:b/>
          <w:bCs/>
          <w:kern w:val="0"/>
          <w:sz w:val="28"/>
          <w:szCs w:val="28"/>
          <w:lang w:val="uk-UA"/>
        </w:rPr>
        <w:t>МЕДИКО-СОЦІАЛЬНЕ ОБҐРУНТУВАННЯ  МОДЕЛІ ДОБРОВІЛЬНОГО МЕДИЧНОГО СТРАХУВАННЯ В СИСТЕМІ БЮДЖЕТНО-СТРАХОВОЇ МЕДИЦИНИ</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
          <w:bCs/>
          <w:kern w:val="0"/>
          <w:sz w:val="28"/>
          <w:szCs w:val="28"/>
          <w:lang w:val="uk-UA"/>
        </w:rPr>
      </w:pPr>
      <w:r w:rsidRPr="00787A40">
        <w:rPr>
          <w:rFonts w:ascii="Times New Roman" w:eastAsia="Times New Roman" w:hAnsi="Times New Roman" w:cs="Times New Roman"/>
          <w:b/>
          <w:bCs/>
          <w:kern w:val="0"/>
          <w:sz w:val="28"/>
          <w:szCs w:val="28"/>
          <w:lang w:val="uk-UA"/>
        </w:rPr>
        <w:t>(</w:t>
      </w:r>
      <w:r w:rsidRPr="00787A40">
        <w:rPr>
          <w:rFonts w:ascii="Times New Roman CYR" w:eastAsia="Times New Roman" w:hAnsi="Times New Roman CYR" w:cs="Times New Roman CYR"/>
          <w:b/>
          <w:bCs/>
          <w:kern w:val="0"/>
          <w:sz w:val="28"/>
          <w:szCs w:val="28"/>
          <w:lang w:val="uk-UA"/>
        </w:rPr>
        <w:t>НА ПРИКЛАДІ СУМСЬКОЇ ОБЛАСТІ)</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14.02.03 – </w:t>
      </w:r>
      <w:r w:rsidRPr="00787A40">
        <w:rPr>
          <w:rFonts w:ascii="Times New Roman CYR" w:eastAsia="Times New Roman" w:hAnsi="Times New Roman CYR" w:cs="Times New Roman CYR"/>
          <w:kern w:val="0"/>
          <w:sz w:val="28"/>
          <w:szCs w:val="28"/>
          <w:lang w:val="uk-UA"/>
        </w:rPr>
        <w:t>соціальна медицина</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Дисертація на здобуття наукового ступеня</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кандидата медичних наук</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lang w:val="uk-UA"/>
        </w:rPr>
      </w:pPr>
    </w:p>
    <w:tbl>
      <w:tblPr>
        <w:tblW w:w="0" w:type="auto"/>
        <w:tblInd w:w="108" w:type="dxa"/>
        <w:tblLayout w:type="fixed"/>
        <w:tblLook w:val="0000"/>
      </w:tblPr>
      <w:tblGrid>
        <w:gridCol w:w="6204"/>
        <w:gridCol w:w="4252"/>
      </w:tblGrid>
      <w:tr w:rsidR="00787A40" w:rsidRPr="00787A40" w:rsidTr="00B92C0E">
        <w:tblPrEx>
          <w:tblCellMar>
            <w:top w:w="0" w:type="dxa"/>
            <w:bottom w:w="0" w:type="dxa"/>
          </w:tblCellMar>
        </w:tblPrEx>
        <w:trPr>
          <w:trHeight w:val="1"/>
        </w:trPr>
        <w:tc>
          <w:tcPr>
            <w:tcW w:w="6204"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p>
        </w:tc>
        <w:tc>
          <w:tcPr>
            <w:tcW w:w="4252"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0"/>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Науковий керівник</w:t>
            </w:r>
          </w:p>
          <w:p w:rsidR="00787A40" w:rsidRPr="00787A40" w:rsidRDefault="00787A40" w:rsidP="00787A40">
            <w:pPr>
              <w:tabs>
                <w:tab w:val="clear" w:pos="709"/>
              </w:tabs>
              <w:autoSpaceDE w:val="0"/>
              <w:autoSpaceDN w:val="0"/>
              <w:adjustRightInd w:val="0"/>
              <w:spacing w:after="0" w:line="360" w:lineRule="auto"/>
              <w:ind w:firstLine="0"/>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Вороненко Юрій Васильович,</w:t>
            </w:r>
          </w:p>
          <w:p w:rsidR="00787A40" w:rsidRPr="00787A40" w:rsidRDefault="00787A40" w:rsidP="00787A40">
            <w:pPr>
              <w:tabs>
                <w:tab w:val="clear" w:pos="709"/>
              </w:tabs>
              <w:autoSpaceDE w:val="0"/>
              <w:autoSpaceDN w:val="0"/>
              <w:adjustRightInd w:val="0"/>
              <w:spacing w:after="0" w:line="360" w:lineRule="auto"/>
              <w:ind w:firstLine="0"/>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академік НАМН України, </w:t>
            </w:r>
          </w:p>
          <w:p w:rsidR="00787A40" w:rsidRPr="00787A40" w:rsidRDefault="00787A40" w:rsidP="00787A40">
            <w:pPr>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д. мед. н., професор</w:t>
            </w:r>
          </w:p>
        </w:tc>
      </w:tr>
    </w:tbl>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Київ – 2015</w:t>
      </w: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lang w:val="uk-UA"/>
        </w:rPr>
        <w:br w:type="page"/>
      </w:r>
      <w:r w:rsidRPr="00787A40">
        <w:rPr>
          <w:rFonts w:ascii="Times New Roman CYR" w:eastAsia="Times New Roman" w:hAnsi="Times New Roman CYR" w:cs="Times New Roman CYR"/>
          <w:kern w:val="0"/>
          <w:sz w:val="28"/>
          <w:szCs w:val="28"/>
          <w:lang w:val="uk-UA"/>
        </w:rPr>
        <w:t>ЗМІСТ</w:t>
      </w: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tbl>
      <w:tblPr>
        <w:tblW w:w="0" w:type="auto"/>
        <w:tblInd w:w="108" w:type="dxa"/>
        <w:tblLayout w:type="fixed"/>
        <w:tblLook w:val="0000"/>
      </w:tblPr>
      <w:tblGrid>
        <w:gridCol w:w="8460"/>
        <w:gridCol w:w="1080"/>
      </w:tblGrid>
      <w:tr w:rsidR="00787A40" w:rsidRPr="00787A40" w:rsidTr="00B92C0E">
        <w:tblPrEx>
          <w:tblCellMar>
            <w:top w:w="0" w:type="dxa"/>
            <w:bottom w:w="0" w:type="dxa"/>
          </w:tblCellMar>
        </w:tblPrEx>
        <w:trPr>
          <w:trHeight w:val="103"/>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ПЕРЕЛІК УМОВНИХ СКОРОЧЕНЬ</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709"/>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4</w:t>
            </w:r>
          </w:p>
        </w:tc>
      </w:tr>
      <w:tr w:rsidR="00787A40" w:rsidRPr="00787A40" w:rsidTr="00B92C0E">
        <w:tblPrEx>
          <w:tblCellMar>
            <w:top w:w="0" w:type="dxa"/>
            <w:bottom w:w="0" w:type="dxa"/>
          </w:tblCellMar>
        </w:tblPrEx>
        <w:trPr>
          <w:trHeight w:val="152"/>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ВСТУП</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709"/>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5</w:t>
            </w:r>
          </w:p>
        </w:tc>
      </w:tr>
      <w:tr w:rsidR="00787A40" w:rsidRPr="00787A40" w:rsidTr="00B92C0E">
        <w:tblPrEx>
          <w:tblCellMar>
            <w:top w:w="0" w:type="dxa"/>
            <w:bottom w:w="0" w:type="dxa"/>
          </w:tblCellMar>
        </w:tblPrEx>
        <w:trPr>
          <w:trHeight w:val="188"/>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РОЗДІЛ 1. СТРАХОВА МЕДИЦИНА У ФІНАНСОВОМУ ЗАБЕЗПЕЧЕННІ НАЦІОНАЛЬНИХ СЛУЖБ ОХОРОНИ ЗДОРОВ’Я (огляд літератури)</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12</w:t>
            </w:r>
          </w:p>
        </w:tc>
      </w:tr>
      <w:tr w:rsidR="00787A40" w:rsidRPr="00787A40" w:rsidTr="00B92C0E">
        <w:tblPrEx>
          <w:tblCellMar>
            <w:top w:w="0" w:type="dxa"/>
            <w:bottom w:w="0" w:type="dxa"/>
          </w:tblCellMar>
        </w:tblPrEx>
        <w:trPr>
          <w:trHeight w:val="70"/>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1.1. </w:t>
            </w:r>
            <w:r w:rsidRPr="00787A40">
              <w:rPr>
                <w:rFonts w:ascii="Times New Roman CYR" w:eastAsia="Times New Roman" w:hAnsi="Times New Roman CYR" w:cs="Times New Roman CYR"/>
                <w:kern w:val="0"/>
                <w:sz w:val="28"/>
                <w:szCs w:val="28"/>
                <w:lang w:val="uk-UA"/>
              </w:rPr>
              <w:t>Підходи до фінансування охорони здоров’я на засадах добровільного медичного страхування в країнах світу та в Україні</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12</w:t>
            </w:r>
          </w:p>
        </w:tc>
      </w:tr>
      <w:tr w:rsidR="00787A40" w:rsidRPr="00787A40" w:rsidTr="00B92C0E">
        <w:tblPrEx>
          <w:tblCellMar>
            <w:top w:w="0" w:type="dxa"/>
            <w:bottom w:w="0" w:type="dxa"/>
          </w:tblCellMar>
        </w:tblPrEx>
        <w:trPr>
          <w:trHeight w:val="158"/>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1.2. </w:t>
            </w:r>
            <w:r w:rsidRPr="00787A40">
              <w:rPr>
                <w:rFonts w:ascii="Times New Roman CYR" w:eastAsia="Times New Roman" w:hAnsi="Times New Roman CYR" w:cs="Times New Roman CYR"/>
                <w:kern w:val="0"/>
                <w:sz w:val="28"/>
                <w:szCs w:val="28"/>
                <w:lang w:val="uk-UA"/>
              </w:rPr>
              <w:t>Соціальні гарантії в охороні здоров’я: передумови формування, організаційний та правовий аспекти</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28</w:t>
            </w:r>
          </w:p>
        </w:tc>
      </w:tr>
      <w:tr w:rsidR="00787A40" w:rsidRPr="00787A40" w:rsidTr="00B92C0E">
        <w:tblPrEx>
          <w:tblCellMar>
            <w:top w:w="0" w:type="dxa"/>
            <w:bottom w:w="0" w:type="dxa"/>
          </w:tblCellMar>
        </w:tblPrEx>
        <w:trPr>
          <w:trHeight w:val="114"/>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РОЗДІЛ 2. ПРОГРАМА, МАТЕРІАЛИ, ОБСЯГ ТА МЕТОДИЧНИЙ АПАРАТ ДОСЛІДЖЕННЯ</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38</w:t>
            </w:r>
          </w:p>
        </w:tc>
      </w:tr>
      <w:tr w:rsidR="00787A40" w:rsidRPr="00787A40" w:rsidTr="00B92C0E">
        <w:tblPrEx>
          <w:tblCellMar>
            <w:top w:w="0" w:type="dxa"/>
            <w:bottom w:w="0" w:type="dxa"/>
          </w:tblCellMar>
        </w:tblPrEx>
        <w:trPr>
          <w:trHeight w:val="114"/>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2.1. </w:t>
            </w:r>
            <w:r w:rsidRPr="00787A40">
              <w:rPr>
                <w:rFonts w:ascii="Times New Roman CYR" w:eastAsia="Times New Roman" w:hAnsi="Times New Roman CYR" w:cs="Times New Roman CYR"/>
                <w:kern w:val="0"/>
                <w:sz w:val="28"/>
                <w:szCs w:val="28"/>
                <w:lang w:val="uk-UA"/>
              </w:rPr>
              <w:t>Обґрунтування вибору Сумської області як об’єкту для проведення дослідження</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38</w:t>
            </w:r>
          </w:p>
        </w:tc>
      </w:tr>
      <w:tr w:rsidR="00787A40" w:rsidRPr="00787A40" w:rsidTr="00B92C0E">
        <w:tblPrEx>
          <w:tblCellMar>
            <w:top w:w="0" w:type="dxa"/>
            <w:bottom w:w="0" w:type="dxa"/>
          </w:tblCellMar>
        </w:tblPrEx>
        <w:trPr>
          <w:trHeight w:val="599"/>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2.2. </w:t>
            </w:r>
            <w:r w:rsidRPr="00787A40">
              <w:rPr>
                <w:rFonts w:ascii="Times New Roman CYR" w:eastAsia="Times New Roman" w:hAnsi="Times New Roman CYR" w:cs="Times New Roman CYR"/>
                <w:kern w:val="0"/>
                <w:sz w:val="28"/>
                <w:szCs w:val="28"/>
                <w:lang w:val="uk-UA"/>
              </w:rPr>
              <w:t>Програмно-цільова структура та методологія дослідження</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40</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 xml:space="preserve">РОЗДІЛ 3. </w:t>
            </w:r>
            <w:r w:rsidRPr="00787A40">
              <w:rPr>
                <w:rFonts w:ascii="Times New Roman CYR" w:eastAsia="Times New Roman" w:hAnsi="Times New Roman CYR" w:cs="Times New Roman CYR"/>
                <w:caps/>
                <w:kern w:val="0"/>
                <w:sz w:val="28"/>
                <w:szCs w:val="28"/>
                <w:lang w:val="uk-UA"/>
              </w:rPr>
              <w:t>АНАЛІЗ соціально-економічної ТА демографічної ситуації</w:t>
            </w:r>
            <w:r w:rsidRPr="00787A40">
              <w:rPr>
                <w:rFonts w:ascii="Times New Roman CYR" w:eastAsia="Times New Roman" w:hAnsi="Times New Roman CYR" w:cs="Times New Roman CYR"/>
                <w:kern w:val="0"/>
                <w:sz w:val="28"/>
                <w:szCs w:val="28"/>
                <w:lang w:val="uk-UA"/>
              </w:rPr>
              <w:t xml:space="preserve"> В СУМСЬКІЙ ОБЛАСТІ ТА ПРОВІДНИХ ФАКТОРІВ РИЗИКУ, ЯКІ ВПЛИВАЮТЬ НА ЗДОРОВ’Я НАСЕЛЕННЯ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51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3.1. </w:t>
            </w:r>
            <w:r w:rsidRPr="00787A40">
              <w:rPr>
                <w:rFonts w:ascii="Times New Roman CYR" w:eastAsia="Times New Roman" w:hAnsi="Times New Roman CYR" w:cs="Times New Roman CYR"/>
                <w:kern w:val="0"/>
                <w:sz w:val="28"/>
                <w:szCs w:val="28"/>
                <w:lang w:val="uk-UA"/>
              </w:rPr>
              <w:t xml:space="preserve">Оцінка соціально-економічної та демографічної ситуації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51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3.2. </w:t>
            </w:r>
            <w:r w:rsidRPr="00787A40">
              <w:rPr>
                <w:rFonts w:ascii="Times New Roman CYR" w:eastAsia="Times New Roman" w:hAnsi="Times New Roman CYR" w:cs="Times New Roman CYR"/>
                <w:kern w:val="0"/>
                <w:sz w:val="28"/>
                <w:szCs w:val="28"/>
                <w:lang w:val="uk-UA"/>
              </w:rPr>
              <w:t xml:space="preserve">Характеристика захворюваності населення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59</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3.3. </w:t>
            </w:r>
            <w:r w:rsidRPr="00787A40">
              <w:rPr>
                <w:rFonts w:ascii="Times New Roman CYR" w:eastAsia="Times New Roman" w:hAnsi="Times New Roman CYR" w:cs="Times New Roman CYR"/>
                <w:kern w:val="0"/>
                <w:sz w:val="28"/>
                <w:szCs w:val="28"/>
                <w:lang w:val="uk-UA"/>
              </w:rPr>
              <w:t xml:space="preserve">Аналіз провідних ризиків, що впливають на здоров’я населення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61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РОЗДІЛ 4. ДОСЛІДЖЕННЯ ПЕРЕДУМОВ ЩОДО РОЗВИТКУ ДОБРОВІЛЬНОГО МЕДИЧНОГО СТРАХУВАННЯ В СУМСЬКІЙ ОБЛАСТІ</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71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4.1. </w:t>
            </w:r>
            <w:r w:rsidRPr="00787A40">
              <w:rPr>
                <w:rFonts w:ascii="Times New Roman CYR" w:eastAsia="Times New Roman" w:hAnsi="Times New Roman CYR" w:cs="Times New Roman CYR"/>
                <w:kern w:val="0"/>
                <w:sz w:val="28"/>
                <w:szCs w:val="28"/>
                <w:lang w:val="uk-UA"/>
              </w:rPr>
              <w:t>Аналіз нормативно-правового забезпечення розвитку добровільного медичного страхування</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71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4.2. </w:t>
            </w:r>
            <w:r w:rsidRPr="00787A40">
              <w:rPr>
                <w:rFonts w:ascii="Times New Roman CYR" w:eastAsia="Times New Roman" w:hAnsi="Times New Roman CYR" w:cs="Times New Roman CYR"/>
                <w:kern w:val="0"/>
                <w:sz w:val="28"/>
                <w:szCs w:val="28"/>
                <w:lang w:val="uk-UA"/>
              </w:rPr>
              <w:t xml:space="preserve">Оцінка </w:t>
            </w:r>
            <w:r w:rsidRPr="00787A40">
              <w:rPr>
                <w:rFonts w:ascii="Times New Roman CYR" w:eastAsia="Times New Roman" w:hAnsi="Times New Roman CYR" w:cs="Times New Roman CYR"/>
                <w:color w:val="000000"/>
                <w:kern w:val="0"/>
                <w:sz w:val="28"/>
                <w:szCs w:val="28"/>
                <w:lang w:val="uk-UA"/>
              </w:rPr>
              <w:t xml:space="preserve">особливостей </w:t>
            </w:r>
            <w:r w:rsidRPr="00787A40">
              <w:rPr>
                <w:rFonts w:ascii="Times New Roman CYR" w:eastAsia="Times New Roman" w:hAnsi="Times New Roman CYR" w:cs="Times New Roman CYR"/>
                <w:kern w:val="0"/>
                <w:sz w:val="28"/>
                <w:szCs w:val="28"/>
                <w:lang w:val="uk-UA"/>
              </w:rPr>
              <w:t>ринку страхових медичних послуг</w:t>
            </w:r>
            <w:r w:rsidRPr="00787A40">
              <w:rPr>
                <w:rFonts w:ascii="Times New Roman CYR" w:eastAsia="Times New Roman" w:hAnsi="Times New Roman CYR" w:cs="Times New Roman CYR"/>
                <w:color w:val="000000"/>
                <w:kern w:val="0"/>
                <w:sz w:val="28"/>
                <w:szCs w:val="28"/>
                <w:lang w:val="uk-UA"/>
              </w:rPr>
              <w:t xml:space="preserve">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83</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4.3. </w:t>
            </w:r>
            <w:r w:rsidRPr="00787A40">
              <w:rPr>
                <w:rFonts w:ascii="Times New Roman CYR" w:eastAsia="Times New Roman" w:hAnsi="Times New Roman CYR" w:cs="Times New Roman CYR"/>
                <w:kern w:val="0"/>
                <w:sz w:val="28"/>
                <w:szCs w:val="28"/>
                <w:lang w:val="uk-UA"/>
              </w:rPr>
              <w:t xml:space="preserve">Характеристика стану інформатизації системи охорони здоров’я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91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РОЗДІЛ 5.</w:t>
            </w:r>
            <w:r w:rsidRPr="00787A40">
              <w:rPr>
                <w:rFonts w:ascii="Times New Roman CYR" w:eastAsia="Times New Roman" w:hAnsi="Times New Roman CYR" w:cs="Times New Roman CYR"/>
                <w:color w:val="000000"/>
                <w:kern w:val="0"/>
                <w:sz w:val="28"/>
                <w:szCs w:val="28"/>
                <w:lang w:val="uk-UA"/>
              </w:rPr>
              <w:t xml:space="preserve"> </w:t>
            </w:r>
            <w:r w:rsidRPr="00787A40">
              <w:rPr>
                <w:rFonts w:ascii="Times New Roman CYR" w:eastAsia="Times New Roman" w:hAnsi="Times New Roman CYR" w:cs="Times New Roman CYR"/>
                <w:kern w:val="0"/>
                <w:sz w:val="28"/>
                <w:szCs w:val="28"/>
                <w:lang w:val="uk-UA"/>
              </w:rPr>
              <w:t>ОБЃРУНТУВАННЯ МОДЕЛІ ДОБРОВІЛЬНОГО МЕДИЧНОГО СТРАХУВАННЯ НА ЗАСАДАХ ДЕРЖАВНО-ПРИВАТНОГО ПАРТНЕРСТВА ТА ІНФОРМАЦІЙНОЇ ПЛАТФОРМИ ЩОДО ЇЇ ВПРОВАДЖЕННЯ</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101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5.1. </w:t>
            </w:r>
            <w:r w:rsidRPr="00787A40">
              <w:rPr>
                <w:rFonts w:ascii="Times New Roman CYR" w:eastAsia="Times New Roman" w:hAnsi="Times New Roman CYR" w:cs="Times New Roman CYR"/>
                <w:color w:val="000000"/>
                <w:kern w:val="0"/>
                <w:sz w:val="28"/>
                <w:szCs w:val="28"/>
                <w:lang w:val="uk-UA"/>
              </w:rPr>
              <w:t>Обґрунтування</w:t>
            </w:r>
            <w:r w:rsidRPr="00787A40">
              <w:rPr>
                <w:rFonts w:ascii="Times New Roman CYR" w:eastAsia="Times New Roman" w:hAnsi="Times New Roman CYR" w:cs="Times New Roman CYR"/>
                <w:kern w:val="0"/>
                <w:sz w:val="28"/>
                <w:szCs w:val="28"/>
                <w:lang w:val="uk-UA"/>
              </w:rPr>
              <w:t xml:space="preserve"> моделі добровільного медичного страхування на засадах державно-приватного партнерства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101</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5.2.</w:t>
            </w:r>
            <w:r w:rsidRPr="00787A40">
              <w:rPr>
                <w:rFonts w:ascii="Times New Roman" w:eastAsia="Times New Roman" w:hAnsi="Times New Roman" w:cs="Times New Roman"/>
                <w:color w:val="000000"/>
                <w:kern w:val="0"/>
                <w:sz w:val="28"/>
                <w:szCs w:val="28"/>
                <w:lang w:val="uk-UA"/>
              </w:rPr>
              <w:t xml:space="preserve"> </w:t>
            </w:r>
            <w:r w:rsidRPr="00787A40">
              <w:rPr>
                <w:rFonts w:ascii="Times New Roman CYR" w:eastAsia="Times New Roman" w:hAnsi="Times New Roman CYR" w:cs="Times New Roman CYR"/>
                <w:color w:val="000000"/>
                <w:kern w:val="0"/>
                <w:sz w:val="28"/>
                <w:szCs w:val="28"/>
                <w:lang w:val="uk-UA"/>
              </w:rPr>
              <w:t>Обґрунтування</w:t>
            </w:r>
            <w:r w:rsidRPr="00787A40">
              <w:rPr>
                <w:rFonts w:ascii="Times New Roman CYR" w:eastAsia="Times New Roman" w:hAnsi="Times New Roman CYR" w:cs="Times New Roman CYR"/>
                <w:kern w:val="0"/>
                <w:sz w:val="28"/>
                <w:szCs w:val="28"/>
                <w:lang w:val="uk-UA"/>
              </w:rPr>
              <w:t xml:space="preserve"> інформаційної платформи щодо запровадження моделі добровільного медичного страхування на засадах державно-приватного партнерства </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118</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РОЗДІЛ 6. ОЦІНКА ЕФЕКТИВНОСТІ ЗАПРОПОНОВАНОЇ МОДЕЛІ ДОБРОВІЛЬНОГО МЕДИЧНОГО СТРАХУВАННЯ В СИСТЕМІ БЮДЖЕТНО-СТРАХОВОЇ МЕДИЦИНИ</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132</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6.1. </w:t>
            </w:r>
            <w:r w:rsidRPr="00787A40">
              <w:rPr>
                <w:rFonts w:ascii="Times New Roman CYR" w:eastAsia="Times New Roman" w:hAnsi="Times New Roman CYR" w:cs="Times New Roman CYR"/>
                <w:kern w:val="0"/>
                <w:sz w:val="28"/>
                <w:szCs w:val="28"/>
                <w:lang w:val="uk-UA"/>
              </w:rPr>
              <w:t>Результати впровадження моделі добровільного медичного страхування на засадах державно-приватного партнерства в Сумській області</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127</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 xml:space="preserve">6.2. </w:t>
            </w:r>
            <w:r w:rsidRPr="00787A40">
              <w:rPr>
                <w:rFonts w:ascii="Times New Roman CYR" w:eastAsia="Times New Roman" w:hAnsi="Times New Roman CYR" w:cs="Times New Roman CYR"/>
                <w:kern w:val="0"/>
                <w:sz w:val="28"/>
                <w:szCs w:val="28"/>
                <w:lang w:val="uk-UA"/>
              </w:rPr>
              <w:t>Оцінка медичної, соціальної та економічної ефективності обгрунтованої моделі надання медичної допомоги</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136</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ЗАКЛЮЧЕННЯ</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147</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ВИСНОВКИ</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154</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ПРАКТИЧНІ РЕКОМЕНДАЦІЇ</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156</w:t>
            </w:r>
          </w:p>
        </w:tc>
      </w:tr>
      <w:tr w:rsidR="00787A40" w:rsidRPr="00787A40" w:rsidTr="00B92C0E">
        <w:tblPrEx>
          <w:tblCellMar>
            <w:top w:w="0" w:type="dxa"/>
            <w:bottom w:w="0" w:type="dxa"/>
          </w:tblCellMar>
        </w:tblPrEx>
        <w:trPr>
          <w:trHeight w:val="205"/>
        </w:trPr>
        <w:tc>
          <w:tcPr>
            <w:tcW w:w="846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ПЕРЕЛІК ВИКОРИСТАНИХ ДЖЕРЕЛ</w:t>
            </w:r>
          </w:p>
        </w:tc>
        <w:tc>
          <w:tcPr>
            <w:tcW w:w="1080" w:type="dxa"/>
            <w:tcBorders>
              <w:top w:val="nil"/>
              <w:left w:val="nil"/>
              <w:bottom w:val="nil"/>
              <w:right w:val="nil"/>
            </w:tcBorders>
            <w:shd w:val="clear" w:color="000000" w:fill="FFFFFF"/>
            <w:vAlign w:val="bottom"/>
          </w:tcPr>
          <w:p w:rsidR="00787A40" w:rsidRPr="00787A40" w:rsidRDefault="00787A40" w:rsidP="00787A40">
            <w:pPr>
              <w:widowControl/>
              <w:tabs>
                <w:tab w:val="clear" w:pos="709"/>
              </w:tabs>
              <w:autoSpaceDE w:val="0"/>
              <w:autoSpaceDN w:val="0"/>
              <w:adjustRightInd w:val="0"/>
              <w:spacing w:after="0" w:line="360" w:lineRule="auto"/>
              <w:ind w:firstLine="0"/>
              <w:jc w:val="right"/>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157</w:t>
            </w:r>
          </w:p>
        </w:tc>
      </w:tr>
    </w:tbl>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ПЕРЕЛІК УМОВНИХ СКОРОЧЕНЬ</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kern w:val="0"/>
          <w:sz w:val="28"/>
          <w:szCs w:val="28"/>
          <w:lang w:val="uk-UA"/>
        </w:rPr>
      </w:pPr>
    </w:p>
    <w:tbl>
      <w:tblPr>
        <w:tblW w:w="0" w:type="auto"/>
        <w:tblInd w:w="108" w:type="dxa"/>
        <w:tblLayout w:type="fixed"/>
        <w:tblLook w:val="0000"/>
      </w:tblPr>
      <w:tblGrid>
        <w:gridCol w:w="1621"/>
        <w:gridCol w:w="356"/>
        <w:gridCol w:w="7087"/>
      </w:tblGrid>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ДМС</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color w:val="000000"/>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добровільне медичне страхування</w:t>
            </w:r>
          </w:p>
        </w:tc>
      </w:tr>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w:eastAsia="Times New Roman" w:hAnsi="Times" w:cs="Times"/>
                <w:color w:val="000000"/>
                <w:spacing w:val="-4"/>
                <w:kern w:val="0"/>
                <w:sz w:val="28"/>
                <w:szCs w:val="28"/>
                <w:lang w:val="uk-UA"/>
              </w:rPr>
              <w:t>ІРЛП</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color w:val="000000"/>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w:eastAsia="Times New Roman" w:hAnsi="Times" w:cs="Times"/>
                <w:color w:val="000000"/>
                <w:spacing w:val="-4"/>
                <w:kern w:val="0"/>
                <w:sz w:val="28"/>
                <w:szCs w:val="28"/>
                <w:lang w:val="uk-UA"/>
              </w:rPr>
              <w:t>індекс розвитку людського потенціалу</w:t>
            </w:r>
          </w:p>
        </w:tc>
      </w:tr>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ІС</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інформаційна система</w:t>
            </w:r>
          </w:p>
        </w:tc>
      </w:tr>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ООН</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color w:val="000000"/>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Організація Об’єднаних Націй</w:t>
            </w:r>
          </w:p>
        </w:tc>
      </w:tr>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ПЗ</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 xml:space="preserve">програмне забезпечення </w:t>
            </w:r>
          </w:p>
        </w:tc>
      </w:tr>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СК</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kern w:val="0"/>
                <w:sz w:val="28"/>
                <w:szCs w:val="28"/>
                <w:lang w:val="uk-UA"/>
              </w:rPr>
              <w:t xml:space="preserve">страхова компанія </w:t>
            </w:r>
          </w:p>
        </w:tc>
      </w:tr>
      <w:tr w:rsidR="00787A40" w:rsidRPr="00787A40" w:rsidTr="00B92C0E">
        <w:tblPrEx>
          <w:tblCellMar>
            <w:top w:w="0" w:type="dxa"/>
            <w:bottom w:w="0" w:type="dxa"/>
          </w:tblCellMar>
        </w:tblPrEx>
        <w:trPr>
          <w:trHeight w:val="1"/>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СНД</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color w:val="000000"/>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Співдружність Незалежних Держав</w:t>
            </w:r>
          </w:p>
        </w:tc>
      </w:tr>
      <w:tr w:rsidR="00787A40" w:rsidRPr="00787A40" w:rsidTr="00B92C0E">
        <w:tblPrEx>
          <w:tblCellMar>
            <w:top w:w="0" w:type="dxa"/>
            <w:bottom w:w="0" w:type="dxa"/>
          </w:tblCellMar>
        </w:tblPrEx>
        <w:trPr>
          <w:trHeight w:val="95"/>
        </w:trPr>
        <w:tc>
          <w:tcPr>
            <w:tcW w:w="1621"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УОЗ</w:t>
            </w:r>
          </w:p>
        </w:tc>
        <w:tc>
          <w:tcPr>
            <w:tcW w:w="356"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jc w:val="center"/>
              <w:rPr>
                <w:rFonts w:ascii="Calibri" w:eastAsia="Times New Roman" w:hAnsi="Calibri" w:cs="Calibri"/>
                <w:kern w:val="0"/>
                <w:lang w:val="uk-UA"/>
              </w:rPr>
            </w:pPr>
            <w:r w:rsidRPr="00787A40">
              <w:rPr>
                <w:rFonts w:ascii="Times New Roman" w:eastAsia="Times New Roman" w:hAnsi="Times New Roman" w:cs="Times New Roman"/>
                <w:color w:val="000000"/>
                <w:kern w:val="0"/>
                <w:sz w:val="28"/>
                <w:szCs w:val="28"/>
                <w:lang w:val="uk-UA"/>
              </w:rPr>
              <w:t>–</w:t>
            </w:r>
          </w:p>
        </w:tc>
        <w:tc>
          <w:tcPr>
            <w:tcW w:w="7087" w:type="dxa"/>
            <w:tcBorders>
              <w:top w:val="nil"/>
              <w:left w:val="nil"/>
              <w:bottom w:val="nil"/>
              <w:right w:val="nil"/>
            </w:tcBorders>
            <w:shd w:val="clear" w:color="000000" w:fill="FFFFFF"/>
          </w:tcPr>
          <w:p w:rsidR="00787A40" w:rsidRPr="00787A40" w:rsidRDefault="00787A40" w:rsidP="00787A40">
            <w:pPr>
              <w:tabs>
                <w:tab w:val="clear" w:pos="709"/>
              </w:tabs>
              <w:autoSpaceDE w:val="0"/>
              <w:autoSpaceDN w:val="0"/>
              <w:adjustRightInd w:val="0"/>
              <w:spacing w:after="0" w:line="360" w:lineRule="auto"/>
              <w:ind w:firstLine="709"/>
              <w:rPr>
                <w:rFonts w:ascii="Calibri" w:eastAsia="Times New Roman" w:hAnsi="Calibri" w:cs="Calibri"/>
                <w:kern w:val="0"/>
                <w:lang w:val="uk-UA"/>
              </w:rPr>
            </w:pPr>
            <w:r w:rsidRPr="00787A40">
              <w:rPr>
                <w:rFonts w:ascii="Times New Roman CYR" w:eastAsia="Times New Roman" w:hAnsi="Times New Roman CYR" w:cs="Times New Roman CYR"/>
                <w:color w:val="000000"/>
                <w:kern w:val="0"/>
                <w:sz w:val="28"/>
                <w:szCs w:val="28"/>
                <w:lang w:val="uk-UA"/>
              </w:rPr>
              <w:t>управління охорони здоров’я</w:t>
            </w:r>
          </w:p>
        </w:tc>
      </w:tr>
    </w:tbl>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Cs/>
          <w:kern w:val="0"/>
          <w:sz w:val="28"/>
          <w:szCs w:val="28"/>
          <w:lang w:val="uk-UA"/>
        </w:rPr>
      </w:pPr>
      <w:r w:rsidRPr="00787A40">
        <w:rPr>
          <w:rFonts w:ascii="Times New Roman" w:eastAsia="Times New Roman" w:hAnsi="Times New Roman" w:cs="Times New Roman"/>
          <w:kern w:val="0"/>
          <w:lang w:val="uk-UA"/>
        </w:rPr>
        <w:br w:type="page"/>
      </w:r>
      <w:r w:rsidRPr="00787A40">
        <w:rPr>
          <w:rFonts w:ascii="Times New Roman CYR" w:eastAsia="Times New Roman" w:hAnsi="Times New Roman CYR" w:cs="Times New Roman CYR"/>
          <w:bCs/>
          <w:kern w:val="0"/>
          <w:sz w:val="28"/>
          <w:szCs w:val="28"/>
          <w:lang w:val="uk-UA"/>
        </w:rPr>
        <w:t>ВСТУП</w:t>
      </w: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
          <w:bCs/>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
          <w:bCs/>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jc w:val="center"/>
        <w:rPr>
          <w:rFonts w:ascii="Times New Roman" w:eastAsia="Times New Roman" w:hAnsi="Times New Roman" w:cs="Times New Roman"/>
          <w:b/>
          <w:bCs/>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Актуальність теми.</w:t>
      </w:r>
      <w:r w:rsidRPr="00787A40">
        <w:rPr>
          <w:rFonts w:ascii="Times New Roman CYR" w:eastAsia="Times New Roman" w:hAnsi="Times New Roman CYR" w:cs="Times New Roman CYR"/>
          <w:kern w:val="0"/>
          <w:sz w:val="28"/>
          <w:szCs w:val="28"/>
          <w:lang w:val="uk-UA"/>
        </w:rPr>
        <w:t xml:space="preserve">  Вагомим чинником надання якісної медичної допомоги населенню у всіх країнах світу є рівень фінансування сфери охорони здоров’я [78, 114]. </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Державні витрати у структурі загальних витрат на охорону здоров’я за оцінками ВООЗ у 2010 р. в Україні становили лише близько 56%, тоді як у країнах – членах ЄС в середньому біля 76%. Україна значно поступається за обсягами фінансування переважній більшості країн Європейського регіону, а відсоток державних витрат на охорону здоров’я в Україні у структурі валового внутрішнього продукту складав лише 2,9% у 2002 р. та 4,0% - у 2012 р., що вкрай недостатньо для забезпечення прийнятного рівня задоволення потреб охорони здоров’я [58, 135].</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За таких умов особливо актуальним стає пошук альтернативних джерел фінансування галузі з метою поліпшення рівня економічної доступності медичного обслуговування населення. Одне з провідних місць у вирішенні цієї проблеми може зайняти бюджетно-страхова медицина, запровадження якої в Україні стало предметом численних наукових дискусій [44, 85, 119]. Однак до цього часу в системі бюджетно-страхової медицини є недосконалою організаційна форма функціонування такого важливого додаткового джерела фінансування як добровільного медичного страхування (ДМС).</w:t>
      </w:r>
    </w:p>
    <w:p w:rsidR="00787A40" w:rsidRPr="00787A40" w:rsidRDefault="00787A40" w:rsidP="00787A40">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Правовою основою становлення добровільного медичного страхування в Україні є Закон України </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Про страхування</w:t>
      </w:r>
      <w:r w:rsidRPr="00787A40">
        <w:rPr>
          <w:rFonts w:ascii="Times New Roman" w:eastAsia="Times New Roman" w:hAnsi="Times New Roman" w:cs="Times New Roman"/>
          <w:kern w:val="0"/>
          <w:sz w:val="28"/>
          <w:szCs w:val="28"/>
          <w:lang w:val="uk-UA"/>
        </w:rPr>
        <w:t xml:space="preserve">» (1993), </w:t>
      </w:r>
      <w:r w:rsidRPr="00787A40">
        <w:rPr>
          <w:rFonts w:ascii="Times New Roman CYR" w:eastAsia="Times New Roman" w:hAnsi="Times New Roman CYR" w:cs="Times New Roman CYR"/>
          <w:kern w:val="0"/>
          <w:sz w:val="28"/>
          <w:szCs w:val="28"/>
          <w:lang w:val="uk-UA"/>
        </w:rPr>
        <w:t xml:space="preserve">який відповідає соціальним перетворенням суспільства у векторі ринкових реформ. Набув чинності і Закон України </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Про державно-приватне партнерство</w:t>
      </w:r>
      <w:r w:rsidRPr="00787A40">
        <w:rPr>
          <w:rFonts w:ascii="Times New Roman" w:eastAsia="Times New Roman" w:hAnsi="Times New Roman" w:cs="Times New Roman"/>
          <w:kern w:val="0"/>
          <w:sz w:val="28"/>
          <w:szCs w:val="28"/>
          <w:lang w:val="uk-UA"/>
        </w:rPr>
        <w:t xml:space="preserve">» (2010), </w:t>
      </w:r>
      <w:r w:rsidRPr="00787A40">
        <w:rPr>
          <w:rFonts w:ascii="Times New Roman CYR" w:eastAsia="Times New Roman" w:hAnsi="Times New Roman CYR" w:cs="Times New Roman CYR"/>
          <w:kern w:val="0"/>
          <w:sz w:val="28"/>
          <w:szCs w:val="28"/>
          <w:lang w:val="uk-UA"/>
        </w:rPr>
        <w:t>який надає можливість застосування механізмів співпраці держави з приватним сектором, у тому числі і в сфері охорони здоров’я.</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В Україні проведено ряд досліджень стосовно запровадження добровільного медичного страхування [25, 94, 121], але вони носять фрагментарний характер і не торкаються, зокрема, державно-приватного партнерства (ДПП), яке знайшло поширення  в країнах Європи [39, 109, 130].</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Відсутність в Україні наукових досліджень, що стосуються управління організацією надання медичної допомоги на засадах бюджетної медицини та ДМС, за принципом ДПП та необхідність розв’язання важливої науково-прикладної проблеми медико-соціального обґрунтування моделі ДМС в системі бюджетно-страхової медицини</w:t>
      </w:r>
      <w:r w:rsidRPr="00787A40">
        <w:rPr>
          <w:rFonts w:ascii="Times New Roman CYR" w:eastAsia="Times New Roman" w:hAnsi="Times New Roman CYR" w:cs="Times New Roman CYR"/>
          <w:color w:val="000000"/>
          <w:kern w:val="0"/>
          <w:sz w:val="28"/>
          <w:szCs w:val="28"/>
          <w:lang w:val="uk-UA"/>
        </w:rPr>
        <w:t xml:space="preserve"> обумовила</w:t>
      </w:r>
      <w:r w:rsidRPr="00787A40">
        <w:rPr>
          <w:rFonts w:ascii="Times New Roman CYR" w:eastAsia="Times New Roman" w:hAnsi="Times New Roman CYR" w:cs="Times New Roman CYR"/>
          <w:color w:val="FF0000"/>
          <w:kern w:val="0"/>
          <w:sz w:val="28"/>
          <w:szCs w:val="28"/>
          <w:lang w:val="uk-UA"/>
        </w:rPr>
        <w:t xml:space="preserve">  </w:t>
      </w:r>
      <w:r w:rsidRPr="00787A40">
        <w:rPr>
          <w:rFonts w:ascii="Times New Roman CYR" w:eastAsia="Times New Roman" w:hAnsi="Times New Roman CYR" w:cs="Times New Roman CYR"/>
          <w:kern w:val="0"/>
          <w:sz w:val="28"/>
          <w:szCs w:val="28"/>
          <w:lang w:val="uk-UA"/>
        </w:rPr>
        <w:t>наступні напрями дослідження:  комплексний аналіз соціально-економічної, медико-демографічної ситуації та провідних факторів ризику, які впливають на  здоров’я населення; дослідження передумов щодо розвитку ДМС шляхом аналізу нормативно-правового забезпечення, особливостей ринку страхових медичних послуг та стану інформатизації системи охорони здоров’я.</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Зв’язок роботи з науковими програмами і темами. </w:t>
      </w:r>
      <w:r w:rsidRPr="00787A40">
        <w:rPr>
          <w:rFonts w:ascii="Times New Roman CYR" w:eastAsia="Times New Roman" w:hAnsi="Times New Roman CYR" w:cs="Times New Roman CYR"/>
          <w:kern w:val="0"/>
          <w:sz w:val="28"/>
          <w:szCs w:val="28"/>
          <w:lang w:val="uk-UA"/>
        </w:rPr>
        <w:t xml:space="preserve">Дисертаційна робота виконувалась відповідно до плану наукових досліджень Національної медичної академії післядипломної освіти імені П. Л. Шупика і є фрагментом науково-дослідної роботи кафедри управління охорони здоров’я </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Розробка стратегічних моделей удосконалення управління якістю медичної допомоги та покращення здоров’я населення України</w:t>
      </w:r>
      <w:r w:rsidRPr="00787A40">
        <w:rPr>
          <w:rFonts w:ascii="Times New Roman" w:eastAsia="Times New Roman" w:hAnsi="Times New Roman" w:cs="Times New Roman"/>
          <w:kern w:val="0"/>
          <w:sz w:val="28"/>
          <w:szCs w:val="28"/>
          <w:lang w:val="uk-UA"/>
        </w:rPr>
        <w:t xml:space="preserve">», № </w:t>
      </w:r>
      <w:r w:rsidRPr="00787A40">
        <w:rPr>
          <w:rFonts w:ascii="Times New Roman CYR" w:eastAsia="Times New Roman" w:hAnsi="Times New Roman CYR" w:cs="Times New Roman CYR"/>
          <w:kern w:val="0"/>
          <w:sz w:val="28"/>
          <w:szCs w:val="28"/>
          <w:lang w:val="uk-UA"/>
        </w:rPr>
        <w:t>державної реєстрації 0109U008304, термін виконання 2009-2014 рр.</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Дисертант є виконавцем підрозділу фінансування охорони здоров’я на засадах бюджетно-страхової медицини.</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b/>
          <w:bCs/>
          <w:kern w:val="0"/>
          <w:sz w:val="28"/>
          <w:szCs w:val="28"/>
          <w:lang w:val="uk-UA"/>
        </w:rPr>
      </w:pPr>
      <w:r w:rsidRPr="00787A40">
        <w:rPr>
          <w:rFonts w:ascii="Times New Roman CYR" w:eastAsia="Times New Roman" w:hAnsi="Times New Roman CYR" w:cs="Times New Roman CYR"/>
          <w:b/>
          <w:bCs/>
          <w:kern w:val="0"/>
          <w:sz w:val="28"/>
          <w:szCs w:val="28"/>
          <w:lang w:val="uk-UA"/>
        </w:rPr>
        <w:t>Мета дослідження:</w:t>
      </w:r>
      <w:r w:rsidRPr="00787A40">
        <w:rPr>
          <w:rFonts w:ascii="Times New Roman CYR" w:eastAsia="Times New Roman" w:hAnsi="Times New Roman CYR" w:cs="Times New Roman CYR"/>
          <w:color w:val="FF0000"/>
          <w:kern w:val="0"/>
          <w:sz w:val="28"/>
          <w:szCs w:val="28"/>
          <w:lang w:val="uk-UA"/>
        </w:rPr>
        <w:t xml:space="preserve"> </w:t>
      </w:r>
      <w:r w:rsidRPr="00787A40">
        <w:rPr>
          <w:rFonts w:ascii="Times New Roman CYR" w:eastAsia="Times New Roman" w:hAnsi="Times New Roman CYR" w:cs="Times New Roman CYR"/>
          <w:kern w:val="0"/>
          <w:sz w:val="28"/>
          <w:szCs w:val="28"/>
          <w:lang w:val="uk-UA"/>
        </w:rPr>
        <w:t>обґрунтування функціонально-структурної моделі добровільного медичного страхування  на засадах державно-приватного партнерства в системі бюджетно-страхової медицини (на прикладі Сумської області).</w:t>
      </w:r>
      <w:r w:rsidRPr="00787A40">
        <w:rPr>
          <w:rFonts w:ascii="Times New Roman CYR" w:eastAsia="Times New Roman" w:hAnsi="Times New Roman CYR" w:cs="Times New Roman CYR"/>
          <w:b/>
          <w:bCs/>
          <w:kern w:val="0"/>
          <w:sz w:val="28"/>
          <w:szCs w:val="28"/>
          <w:lang w:val="uk-UA"/>
        </w:rPr>
        <w:t xml:space="preserve"> </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Для досягнення поставленої мети необхідно було вирішити такі завдання</w:t>
      </w:r>
      <w:r w:rsidRPr="00787A40">
        <w:rPr>
          <w:rFonts w:ascii="Times New Roman CYR" w:eastAsia="Times New Roman" w:hAnsi="Times New Roman CYR" w:cs="Times New Roman CYR"/>
          <w:kern w:val="0"/>
          <w:sz w:val="28"/>
          <w:szCs w:val="28"/>
          <w:lang w:val="uk-UA"/>
        </w:rPr>
        <w:t xml:space="preserve">: </w:t>
      </w:r>
    </w:p>
    <w:p w:rsidR="00787A40" w:rsidRPr="00787A40" w:rsidRDefault="00787A40" w:rsidP="00787A40">
      <w:pPr>
        <w:widowControl/>
        <w:numPr>
          <w:ilvl w:val="0"/>
          <w:numId w:val="48"/>
        </w:numPr>
        <w:tabs>
          <w:tab w:val="clear" w:pos="709"/>
          <w:tab w:val="left" w:pos="993"/>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вивчити, за даними наукової літератури, підходи до фінансування охорони здоров’я на засадах добровільного медичного страхування та організації медичної допомоги в країнах світу та Україні;</w:t>
      </w:r>
    </w:p>
    <w:p w:rsidR="00787A40" w:rsidRPr="00787A40" w:rsidRDefault="00787A40" w:rsidP="00787A40">
      <w:pPr>
        <w:widowControl/>
        <w:numPr>
          <w:ilvl w:val="0"/>
          <w:numId w:val="48"/>
        </w:numPr>
        <w:tabs>
          <w:tab w:val="clear" w:pos="709"/>
          <w:tab w:val="left" w:pos="993"/>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провести аналіз соціально-економічної, медико-демографічної ситуації в Сумській області та провідних факторів ризику, які впливають на здоров’я населення;</w:t>
      </w:r>
    </w:p>
    <w:p w:rsidR="00787A40" w:rsidRPr="00787A40" w:rsidRDefault="00787A40" w:rsidP="00787A40">
      <w:pPr>
        <w:tabs>
          <w:tab w:val="clear" w:pos="709"/>
          <w:tab w:val="left" w:pos="993"/>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дослідити передумови щодо розвитку добровільного медичного страхування в Сумській області шляхом аналізу нормативно-правового забезпечення, особливостей ринку страхових медичних послуг та стану забезпеченості інформаційними системами охорони здоров’я;</w:t>
      </w:r>
    </w:p>
    <w:p w:rsidR="00787A40" w:rsidRPr="00787A40" w:rsidRDefault="00787A40" w:rsidP="00787A40">
      <w:pPr>
        <w:tabs>
          <w:tab w:val="clear" w:pos="709"/>
          <w:tab w:val="left" w:pos="993"/>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 xml:space="preserve">обґрунтувати функціонально-структурну модель добровільного медичного страхування на засадах державно-приватного партнерства та інформаційну систему щодо її запровадження; </w:t>
      </w:r>
    </w:p>
    <w:p w:rsidR="00787A40" w:rsidRPr="00787A40" w:rsidRDefault="00787A40" w:rsidP="00787A40">
      <w:pPr>
        <w:widowControl/>
        <w:numPr>
          <w:ilvl w:val="0"/>
          <w:numId w:val="48"/>
        </w:numPr>
        <w:tabs>
          <w:tab w:val="clear" w:pos="709"/>
          <w:tab w:val="left" w:pos="993"/>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оцінити ефективність обґрунтованої моделі надання медичної допомоги та результати її впровадження в Сумській області.</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Об’єкт дослідження</w:t>
      </w:r>
      <w:r w:rsidRPr="00787A40">
        <w:rPr>
          <w:rFonts w:ascii="Times New Roman CYR" w:eastAsia="Times New Roman" w:hAnsi="Times New Roman CYR" w:cs="Times New Roman CYR"/>
          <w:b/>
          <w:bCs/>
          <w:spacing w:val="-2"/>
          <w:kern w:val="0"/>
          <w:sz w:val="28"/>
          <w:szCs w:val="28"/>
          <w:lang w:val="uk-UA"/>
        </w:rPr>
        <w:t>:</w:t>
      </w:r>
      <w:r w:rsidRPr="00787A40">
        <w:rPr>
          <w:rFonts w:ascii="Times New Roman CYR" w:eastAsia="Times New Roman" w:hAnsi="Times New Roman CYR" w:cs="Times New Roman CYR"/>
          <w:color w:val="FF0000"/>
          <w:kern w:val="0"/>
          <w:sz w:val="28"/>
          <w:szCs w:val="28"/>
          <w:lang w:val="uk-UA"/>
        </w:rPr>
        <w:t xml:space="preserve">  </w:t>
      </w:r>
      <w:r w:rsidRPr="00787A40">
        <w:rPr>
          <w:rFonts w:ascii="Times New Roman CYR" w:eastAsia="Times New Roman" w:hAnsi="Times New Roman CYR" w:cs="Times New Roman CYR"/>
          <w:kern w:val="0"/>
          <w:sz w:val="28"/>
          <w:szCs w:val="28"/>
          <w:lang w:val="uk-UA"/>
        </w:rPr>
        <w:t>система охорони здоров’я населення Сумської області.</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spacing w:val="-2"/>
          <w:kern w:val="0"/>
          <w:sz w:val="28"/>
          <w:szCs w:val="28"/>
          <w:lang w:val="uk-UA"/>
        </w:rPr>
      </w:pPr>
      <w:r w:rsidRPr="00787A40">
        <w:rPr>
          <w:rFonts w:ascii="Times New Roman CYR" w:eastAsia="Times New Roman" w:hAnsi="Times New Roman CYR" w:cs="Times New Roman CYR"/>
          <w:b/>
          <w:bCs/>
          <w:spacing w:val="-2"/>
          <w:kern w:val="0"/>
          <w:sz w:val="28"/>
          <w:szCs w:val="28"/>
          <w:lang w:val="uk-UA"/>
        </w:rPr>
        <w:t xml:space="preserve">Предмет дослідження: </w:t>
      </w:r>
      <w:r w:rsidRPr="00787A40">
        <w:rPr>
          <w:rFonts w:ascii="Times New Roman CYR" w:eastAsia="Times New Roman" w:hAnsi="Times New Roman CYR" w:cs="Times New Roman CYR"/>
          <w:kern w:val="0"/>
          <w:sz w:val="28"/>
          <w:szCs w:val="28"/>
          <w:lang w:val="uk-UA"/>
        </w:rPr>
        <w:t>соціально-економічний, медико-демографічний</w:t>
      </w:r>
      <w:r w:rsidRPr="00787A40">
        <w:rPr>
          <w:rFonts w:ascii="Times New Roman CYR" w:eastAsia="Times New Roman" w:hAnsi="Times New Roman CYR" w:cs="Times New Roman CYR"/>
          <w:spacing w:val="-2"/>
          <w:kern w:val="0"/>
          <w:sz w:val="28"/>
          <w:szCs w:val="28"/>
          <w:lang w:val="uk-UA"/>
        </w:rPr>
        <w:t xml:space="preserve"> стан населення; </w:t>
      </w:r>
      <w:r w:rsidRPr="00787A40">
        <w:rPr>
          <w:rFonts w:ascii="Times New Roman CYR" w:eastAsia="Times New Roman" w:hAnsi="Times New Roman CYR" w:cs="Times New Roman CYR"/>
          <w:kern w:val="0"/>
          <w:sz w:val="28"/>
          <w:szCs w:val="28"/>
          <w:lang w:val="uk-UA"/>
        </w:rPr>
        <w:t>ризики формування захворюваності населення</w:t>
      </w:r>
      <w:r w:rsidRPr="00787A40">
        <w:rPr>
          <w:rFonts w:ascii="Times New Roman CYR" w:eastAsia="Times New Roman" w:hAnsi="Times New Roman CYR" w:cs="Times New Roman CYR"/>
          <w:spacing w:val="-2"/>
          <w:kern w:val="0"/>
          <w:sz w:val="28"/>
          <w:szCs w:val="28"/>
          <w:lang w:val="uk-UA"/>
        </w:rPr>
        <w:t xml:space="preserve">; система фінансування закладів охорони здоров’я в регіоні; </w:t>
      </w:r>
      <w:r w:rsidRPr="00787A40">
        <w:rPr>
          <w:rFonts w:ascii="Times New Roman CYR" w:eastAsia="Times New Roman" w:hAnsi="Times New Roman CYR" w:cs="Times New Roman CYR"/>
          <w:kern w:val="0"/>
          <w:sz w:val="28"/>
          <w:szCs w:val="28"/>
          <w:lang w:val="uk-UA"/>
        </w:rPr>
        <w:t>нормативно-правове забезпечення розвитку добровільного медичного страхування та</w:t>
      </w:r>
      <w:r w:rsidRPr="00787A40">
        <w:rPr>
          <w:rFonts w:ascii="Times New Roman CYR" w:eastAsia="Times New Roman" w:hAnsi="Times New Roman CYR" w:cs="Times New Roman CYR"/>
          <w:spacing w:val="-2"/>
          <w:kern w:val="0"/>
          <w:sz w:val="28"/>
          <w:szCs w:val="28"/>
          <w:lang w:val="uk-UA"/>
        </w:rPr>
        <w:t xml:space="preserve"> діяльність страхових компаній щодо надання послуг населенню Сумської області.</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spacing w:val="-2"/>
          <w:kern w:val="0"/>
          <w:sz w:val="28"/>
          <w:szCs w:val="28"/>
          <w:lang w:val="uk-UA"/>
        </w:rPr>
      </w:pPr>
      <w:r w:rsidRPr="00787A40">
        <w:rPr>
          <w:rFonts w:ascii="Times New Roman CYR" w:eastAsia="Times New Roman" w:hAnsi="Times New Roman CYR" w:cs="Times New Roman CYR"/>
          <w:spacing w:val="-2"/>
          <w:kern w:val="0"/>
          <w:sz w:val="28"/>
          <w:szCs w:val="28"/>
          <w:lang w:val="uk-UA"/>
        </w:rPr>
        <w:t>База наукового дослідження - заклади охорони здоров’я (86) та страхові компанії (17) Сумської області. Дослідження проводилося у 2008-2012 роках.</w:t>
      </w:r>
    </w:p>
    <w:p w:rsidR="00787A40" w:rsidRPr="00787A40" w:rsidRDefault="00787A40" w:rsidP="00787A40">
      <w:pPr>
        <w:tabs>
          <w:tab w:val="clear" w:pos="709"/>
          <w:tab w:val="left" w:pos="1134"/>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Методи дослідження. </w:t>
      </w:r>
      <w:r w:rsidRPr="00787A40">
        <w:rPr>
          <w:rFonts w:ascii="Times New Roman CYR" w:eastAsia="Times New Roman" w:hAnsi="Times New Roman CYR" w:cs="Times New Roman CYR"/>
          <w:kern w:val="0"/>
          <w:sz w:val="28"/>
          <w:szCs w:val="28"/>
          <w:lang w:val="uk-UA"/>
        </w:rPr>
        <w:t>В основу методології дослідження було покладено системний підхід, а основними методами стали наступні:</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бібліосемантичний – для узагальнення міжнародного та вітчизняного досвіду щодо організації медичної допомоги та фінансування охорони здоров’я на засадах добровільного медичного страхування;</w:t>
      </w:r>
    </w:p>
    <w:p w:rsidR="00787A40" w:rsidRPr="00787A40" w:rsidRDefault="00787A40" w:rsidP="00787A40">
      <w:pPr>
        <w:widowControl/>
        <w:numPr>
          <w:ilvl w:val="0"/>
          <w:numId w:val="48"/>
        </w:numPr>
        <w:tabs>
          <w:tab w:val="clear" w:pos="709"/>
          <w:tab w:val="left" w:pos="1134"/>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статистичний – для збору даних, обчислення та оцінки соціально-економічних та медико-демографічних показників, визначення ефективності запропонованої моделі;</w:t>
      </w:r>
    </w:p>
    <w:p w:rsidR="00787A40" w:rsidRPr="00787A40" w:rsidRDefault="00787A40" w:rsidP="00787A40">
      <w:pPr>
        <w:widowControl/>
        <w:numPr>
          <w:ilvl w:val="0"/>
          <w:numId w:val="48"/>
        </w:numPr>
        <w:tabs>
          <w:tab w:val="clear" w:pos="709"/>
          <w:tab w:val="left" w:pos="1134"/>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аналітичний – для дослідження передумов щодо розвитку добровільного медичного страхування, зокрема, аналізу нормативно-правового забезпечення, особливостей ринку страхових медичних послуг та стану інформатизації системи охорони здоров’я;</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концептуального моделювання – для створення та опису властивостей функціонально-організаційної моделі добровільного медичного страхування на основі державно-приватного партнерства;</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системного аналізу – для проведення оцінки системи охорони здоров’я, визначення функціональних та структурних зв’язків між її елементами та концептуального обґрунтування моделі надання медичної допомоги на засадах добровільного медичного страхування та державно-приватного партнерства;</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програмно-цільовий – для розробки конкретних рекомендацій щодо запровадження моделі  добровільного медичного страхування на основі державно-приватного партнерства в практику охорони здоров’я;</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соціологічний – для дослідження інформованості медичних працівників та пацієнтів з питань надання медичної допомоги на основі добровільного медичного страхування та оцінки ефективності запропонованої системи;</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економічний – для аналізу витрат на діяльність нової моделі державно-приватного партнерства на основі бюджетної медицини та добровільного медичного страхування та оцінки її економічної ефективності;</w:t>
      </w:r>
    </w:p>
    <w:p w:rsidR="00787A40" w:rsidRPr="00787A40" w:rsidRDefault="00787A40" w:rsidP="00787A40">
      <w:pPr>
        <w:widowControl/>
        <w:numPr>
          <w:ilvl w:val="0"/>
          <w:numId w:val="48"/>
        </w:numPr>
        <w:tabs>
          <w:tab w:val="clear" w:pos="709"/>
          <w:tab w:val="left" w:pos="1134"/>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експертних оцінок – для вивчення доцільності та ефективності запропонованої моделі.</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Наукова новизна одержаних результатів </w:t>
      </w:r>
      <w:r w:rsidRPr="00787A40">
        <w:rPr>
          <w:rFonts w:ascii="Times New Roman CYR" w:eastAsia="Times New Roman" w:hAnsi="Times New Roman CYR" w:cs="Times New Roman CYR"/>
          <w:kern w:val="0"/>
          <w:sz w:val="28"/>
          <w:szCs w:val="28"/>
          <w:lang w:val="uk-UA"/>
        </w:rPr>
        <w:t>полягає в тому, що вперше в Україні:</w:t>
      </w:r>
    </w:p>
    <w:p w:rsidR="00787A40" w:rsidRPr="00787A40" w:rsidRDefault="00787A40" w:rsidP="00787A40">
      <w:pPr>
        <w:widowControl/>
        <w:numPr>
          <w:ilvl w:val="0"/>
          <w:numId w:val="48"/>
        </w:numPr>
        <w:tabs>
          <w:tab w:val="clear" w:pos="709"/>
          <w:tab w:val="left" w:pos="993"/>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визначено основні групи факторів ризику за критерієм пріоритетного впливу на стан здоров’я населення: соціально-економічні індикатори розвитку економіки; стан екології; рівень розвитку охорони здоров’я та ризики, пов’язані з розповсюдженістю окремих захворювань; </w:t>
      </w:r>
    </w:p>
    <w:p w:rsidR="00787A40" w:rsidRPr="00787A40" w:rsidRDefault="00787A40" w:rsidP="00787A40">
      <w:pPr>
        <w:widowControl/>
        <w:numPr>
          <w:ilvl w:val="0"/>
          <w:numId w:val="48"/>
        </w:numPr>
        <w:tabs>
          <w:tab w:val="clear" w:pos="709"/>
          <w:tab w:val="left" w:pos="284"/>
          <w:tab w:val="left" w:pos="993"/>
          <w:tab w:val="left" w:pos="1778"/>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удосконалено методологічний підхід щодо оцінки соціально-економічних та медико-демографічних параметрів на рівні області, на базі якого можна прогнозувати основні ризики виникнення хвороб для запровадження добровільного медичного страхування;</w:t>
      </w:r>
    </w:p>
    <w:p w:rsidR="00787A40" w:rsidRPr="00787A40" w:rsidRDefault="00787A40" w:rsidP="00787A40">
      <w:pPr>
        <w:tabs>
          <w:tab w:val="clear" w:pos="709"/>
          <w:tab w:val="left" w:pos="993"/>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доведено причинно-наслідковий зв</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язок між розвитком добровільного медичного страхування та наявністю сформованої нормативно-правової бази, розвиненого ринку страхових медичних послуг та стану інформатизації системи охорони здоров’я;</w:t>
      </w:r>
    </w:p>
    <w:p w:rsidR="00787A40" w:rsidRPr="00787A40" w:rsidRDefault="00787A40" w:rsidP="00787A40">
      <w:pPr>
        <w:tabs>
          <w:tab w:val="clear" w:pos="709"/>
          <w:tab w:val="left" w:pos="993"/>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обґрунтована функціонально-структурна модель добровільного медичного страхування на засадах державно-приватного партнерства, що удосконалює процес управління медичною сферою та збільшує обсяги її фінансування;</w:t>
      </w:r>
    </w:p>
    <w:p w:rsidR="00787A40" w:rsidRPr="00787A40" w:rsidRDefault="00787A40" w:rsidP="00787A40">
      <w:pPr>
        <w:tabs>
          <w:tab w:val="clear" w:pos="709"/>
          <w:tab w:val="left" w:pos="993"/>
          <w:tab w:val="left" w:pos="1418"/>
          <w:tab w:val="left" w:pos="1778"/>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 </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 xml:space="preserve"> обґрунтована інформаційна система, як необхідна складова запровадження моделі добровільного медичного страхування на засадах державно-приватного партнерства, що удосконалює діяльність провайдерів медичних послуг та страхових компаній. </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Теоретичне значення одержаних результатів</w:t>
      </w:r>
      <w:r w:rsidRPr="00787A40">
        <w:rPr>
          <w:rFonts w:ascii="Times New Roman CYR" w:eastAsia="Times New Roman" w:hAnsi="Times New Roman CYR" w:cs="Times New Roman CYR"/>
          <w:kern w:val="0"/>
          <w:sz w:val="28"/>
          <w:szCs w:val="28"/>
          <w:lang w:val="uk-UA"/>
        </w:rPr>
        <w:t xml:space="preserve"> полягає в доповненні теорії соціальної медицини в частині удосконалення організації медичної допомоги населенню на основі моделі добровільного медичного страхування на засадах державно-приватного партнерства.</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Практичне значення одержаних результатів </w:t>
      </w:r>
      <w:r w:rsidRPr="00787A40">
        <w:rPr>
          <w:rFonts w:ascii="Times New Roman CYR" w:eastAsia="Times New Roman" w:hAnsi="Times New Roman CYR" w:cs="Times New Roman CYR"/>
          <w:kern w:val="0"/>
          <w:sz w:val="28"/>
          <w:szCs w:val="28"/>
          <w:lang w:val="uk-UA"/>
        </w:rPr>
        <w:t xml:space="preserve"> полягає в тому, що вони стали підставою для:</w:t>
      </w:r>
    </w:p>
    <w:p w:rsidR="00787A40" w:rsidRPr="00787A40" w:rsidRDefault="00787A40" w:rsidP="00787A40">
      <w:pPr>
        <w:tabs>
          <w:tab w:val="clear" w:pos="709"/>
          <w:tab w:val="left" w:pos="1134"/>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 </w:t>
      </w:r>
      <w:r w:rsidRPr="00787A40">
        <w:rPr>
          <w:rFonts w:ascii="Times New Roman CYR" w:eastAsia="Times New Roman" w:hAnsi="Times New Roman CYR" w:cs="Times New Roman CYR"/>
          <w:kern w:val="0"/>
          <w:sz w:val="28"/>
          <w:szCs w:val="28"/>
          <w:lang w:val="uk-UA"/>
        </w:rPr>
        <w:t>впровадження в органах та закладах охорони здоров’я на регіональному рівні елементів моделі надання медичної допомоги населенню на основі державно-приватного партнерства та управління нею;</w:t>
      </w:r>
    </w:p>
    <w:p w:rsidR="00787A40" w:rsidRPr="00787A40" w:rsidRDefault="00787A40" w:rsidP="00787A40">
      <w:pPr>
        <w:tabs>
          <w:tab w:val="clear" w:pos="709"/>
          <w:tab w:val="left" w:pos="1134"/>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 </w:t>
      </w:r>
      <w:r w:rsidRPr="00787A40">
        <w:rPr>
          <w:rFonts w:ascii="Times New Roman CYR" w:eastAsia="Times New Roman" w:hAnsi="Times New Roman CYR" w:cs="Times New Roman CYR"/>
          <w:kern w:val="0"/>
          <w:sz w:val="28"/>
          <w:szCs w:val="28"/>
          <w:lang w:val="uk-UA"/>
        </w:rPr>
        <w:t>впровадження системи регулювання та контролю за партнерським функціонуванням бюджетної та страхової форм надання медичної допомоги;</w:t>
      </w:r>
    </w:p>
    <w:p w:rsidR="00787A40" w:rsidRPr="00787A40" w:rsidRDefault="00787A40" w:rsidP="00787A40">
      <w:pPr>
        <w:tabs>
          <w:tab w:val="clear" w:pos="709"/>
          <w:tab w:val="left" w:pos="1134"/>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 </w:t>
      </w:r>
      <w:r w:rsidRPr="00787A40">
        <w:rPr>
          <w:rFonts w:ascii="Times New Roman CYR" w:eastAsia="Times New Roman" w:hAnsi="Times New Roman CYR" w:cs="Times New Roman CYR"/>
          <w:kern w:val="0"/>
          <w:sz w:val="28"/>
          <w:szCs w:val="28"/>
          <w:lang w:val="uk-UA"/>
        </w:rPr>
        <w:t>запровадження нових форм інформаційного забезпечення процесу надання медичної допомоги  на основі застосування розробленої інформаційної системи.</w:t>
      </w:r>
    </w:p>
    <w:p w:rsidR="00787A40" w:rsidRPr="00787A40" w:rsidRDefault="00787A40" w:rsidP="00787A40">
      <w:pPr>
        <w:tabs>
          <w:tab w:val="clear" w:pos="709"/>
          <w:tab w:val="left" w:pos="1134"/>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Результати дослідження використано на регіональному рівні при:</w:t>
      </w:r>
    </w:p>
    <w:p w:rsidR="00787A40" w:rsidRPr="00787A40" w:rsidRDefault="00787A40" w:rsidP="00787A40">
      <w:pPr>
        <w:widowControl/>
        <w:numPr>
          <w:ilvl w:val="0"/>
          <w:numId w:val="48"/>
        </w:numPr>
        <w:tabs>
          <w:tab w:val="clear" w:pos="709"/>
          <w:tab w:val="left" w:pos="1134"/>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запровадженні системи надання медичної допомоги населенню Сумської області із залученням фінансових можливостей страхових компаній, що здійснюють добровільне медичне страхування;</w:t>
      </w:r>
    </w:p>
    <w:p w:rsidR="00787A40" w:rsidRPr="00787A40" w:rsidRDefault="00787A40" w:rsidP="00787A40">
      <w:pPr>
        <w:widowControl/>
        <w:numPr>
          <w:ilvl w:val="0"/>
          <w:numId w:val="48"/>
        </w:numPr>
        <w:tabs>
          <w:tab w:val="clear" w:pos="709"/>
          <w:tab w:val="left" w:pos="1134"/>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підготовці розпоряджень голови Сумської обласної державної адміністрації </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Про розвиток добровільного медичного страхування в Сумській області</w:t>
      </w:r>
      <w:r w:rsidRPr="00787A40">
        <w:rPr>
          <w:rFonts w:ascii="Times New Roman" w:eastAsia="Times New Roman" w:hAnsi="Times New Roman" w:cs="Times New Roman"/>
          <w:kern w:val="0"/>
          <w:sz w:val="28"/>
          <w:szCs w:val="28"/>
          <w:lang w:val="uk-UA"/>
        </w:rPr>
        <w:t xml:space="preserve">» (2010) </w:t>
      </w:r>
      <w:r w:rsidRPr="00787A40">
        <w:rPr>
          <w:rFonts w:ascii="Times New Roman CYR" w:eastAsia="Times New Roman" w:hAnsi="Times New Roman CYR" w:cs="Times New Roman CYR"/>
          <w:kern w:val="0"/>
          <w:sz w:val="28"/>
          <w:szCs w:val="28"/>
          <w:lang w:val="uk-UA"/>
        </w:rPr>
        <w:t xml:space="preserve">та </w:t>
      </w:r>
      <w:r w:rsidRPr="00787A40">
        <w:rPr>
          <w:rFonts w:ascii="Times New Roman" w:eastAsia="Times New Roman" w:hAnsi="Times New Roman" w:cs="Times New Roman"/>
          <w:kern w:val="0"/>
          <w:sz w:val="28"/>
          <w:szCs w:val="28"/>
          <w:lang w:val="uk-UA"/>
        </w:rPr>
        <w:t>«</w:t>
      </w:r>
      <w:r w:rsidRPr="00787A40">
        <w:rPr>
          <w:rFonts w:ascii="Times New Roman CYR" w:eastAsia="Times New Roman" w:hAnsi="Times New Roman CYR" w:cs="Times New Roman CYR"/>
          <w:kern w:val="0"/>
          <w:sz w:val="28"/>
          <w:szCs w:val="28"/>
          <w:lang w:val="uk-UA"/>
        </w:rPr>
        <w:t>Про затвердження плану заходів щодо введення добровільного медичного страхування</w:t>
      </w:r>
      <w:r w:rsidRPr="00787A40">
        <w:rPr>
          <w:rFonts w:ascii="Times New Roman" w:eastAsia="Times New Roman" w:hAnsi="Times New Roman" w:cs="Times New Roman"/>
          <w:kern w:val="0"/>
          <w:sz w:val="28"/>
          <w:szCs w:val="28"/>
          <w:lang w:val="uk-UA"/>
        </w:rPr>
        <w:t xml:space="preserve">» (2010) </w:t>
      </w:r>
      <w:r w:rsidRPr="00787A40">
        <w:rPr>
          <w:rFonts w:ascii="Times New Roman CYR" w:eastAsia="Times New Roman" w:hAnsi="Times New Roman CYR" w:cs="Times New Roman CYR"/>
          <w:kern w:val="0"/>
          <w:sz w:val="28"/>
          <w:szCs w:val="28"/>
          <w:lang w:val="uk-UA"/>
        </w:rPr>
        <w:t>щодо реалізації пілотного проекту на території області з бюджетно-страхової моделі фінансування медичних закладів.</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Особистий внесок здобувача. </w:t>
      </w:r>
      <w:r w:rsidRPr="00787A40">
        <w:rPr>
          <w:rFonts w:ascii="Times New Roman CYR" w:eastAsia="Times New Roman" w:hAnsi="Times New Roman CYR" w:cs="Times New Roman CYR"/>
          <w:kern w:val="0"/>
          <w:sz w:val="28"/>
          <w:szCs w:val="28"/>
          <w:lang w:val="uk-UA"/>
        </w:rPr>
        <w:t>Автором самостійно визначені мета та завдання дослідження, розроблена його програма; обрано методи для вирішення поставлених завдань, здійснено збір та накопичення даних з первинної документації, розроблені анкети та проведено соціологічне дослідження серед медичних працівників та пацієнтів, проаналізовано і систематизовано результати розрахунку ризиків виникнення захворювань серед населення Сумської області, обґрунтована та розроблена модель добровільного медичного страхування на засадах державно-приватного партнерства, узагальнено результати, сформовано висновки, розроблено практичні рекомендації, що знайшло відображення в опублікованих наукових працях за напрямком дослідження.</w:t>
      </w:r>
    </w:p>
    <w:p w:rsidR="00787A40" w:rsidRPr="00787A40" w:rsidRDefault="00787A40" w:rsidP="00787A40">
      <w:pPr>
        <w:tabs>
          <w:tab w:val="left" w:pos="1026"/>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Розроблені автором наукові положення та отримані дані є самостійним внеском у вирішення проблеми організації медичної допомоги населенню Сумської області на засадах бюджетно-страхової медицини.</w:t>
      </w:r>
    </w:p>
    <w:p w:rsidR="00787A40" w:rsidRPr="00787A40" w:rsidRDefault="00787A40" w:rsidP="00787A40">
      <w:pPr>
        <w:tabs>
          <w:tab w:val="left" w:pos="1026"/>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У роботах, опублікованих у співавторстві, здобувачеві належить формулювання мети та завдань дослідження, визначення механізмів реалізації моделі державно-приватного партнерства та проведення аналізу результатів.</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Апробація результатів дисертації. </w:t>
      </w:r>
      <w:r w:rsidRPr="00787A40">
        <w:rPr>
          <w:rFonts w:ascii="Times New Roman CYR" w:eastAsia="Times New Roman" w:hAnsi="Times New Roman CYR" w:cs="Times New Roman CYR"/>
          <w:kern w:val="0"/>
          <w:sz w:val="28"/>
          <w:szCs w:val="28"/>
          <w:lang w:val="uk-UA"/>
        </w:rPr>
        <w:t xml:space="preserve">Основні положення та результати дослідження оприлюднювалися на: Всеукраїнській науково-практичній конференції з міжнародною участю “Інноваційна система управління охороною здоров’я: галузь, регіон, лікарня” (Київ, 2011 р.), науковому семінарі Міжнародного науково-навчального центру інформаційних технологій і систем НАН України (Київ, 2012 р.), </w:t>
      </w:r>
    </w:p>
    <w:p w:rsidR="00787A40" w:rsidRPr="00787A40" w:rsidRDefault="00787A40" w:rsidP="00787A40">
      <w:pPr>
        <w:tabs>
          <w:tab w:val="left" w:pos="1026"/>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 xml:space="preserve">Публікації. </w:t>
      </w:r>
      <w:r w:rsidRPr="00787A40">
        <w:rPr>
          <w:rFonts w:ascii="Times New Roman CYR" w:eastAsia="Times New Roman" w:hAnsi="Times New Roman CYR" w:cs="Times New Roman CYR"/>
          <w:kern w:val="0"/>
          <w:sz w:val="28"/>
          <w:szCs w:val="28"/>
          <w:lang w:val="uk-UA"/>
        </w:rPr>
        <w:t>Результати дослідження знайшли відображення у 5 наукових статтях, опублікованих у фахових  виданнях, з них в одноосібному авторстві – 3, в іноземних виданнях – 1.</w:t>
      </w:r>
    </w:p>
    <w:p w:rsidR="00787A40" w:rsidRPr="00787A40" w:rsidRDefault="00787A40" w:rsidP="00787A40">
      <w:pPr>
        <w:tabs>
          <w:tab w:val="left" w:pos="1026"/>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b/>
          <w:bCs/>
          <w:kern w:val="0"/>
          <w:sz w:val="28"/>
          <w:szCs w:val="28"/>
          <w:lang w:val="uk-UA"/>
        </w:rPr>
        <w:t>Структура та обсяг дисертації</w:t>
      </w:r>
      <w:r w:rsidRPr="00787A40">
        <w:rPr>
          <w:rFonts w:ascii="Times New Roman CYR" w:eastAsia="Times New Roman" w:hAnsi="Times New Roman CYR" w:cs="Times New Roman CYR"/>
          <w:kern w:val="0"/>
          <w:sz w:val="28"/>
          <w:szCs w:val="28"/>
          <w:lang w:val="uk-UA"/>
        </w:rPr>
        <w:t xml:space="preserve">. Дисертація складається із вступу, шести розділів, заключення, висновків, практичних рекомендацій, списку використаних джерел (143 найменування, з них 44 – зарубіжних авторів). Робота ілюстрована 11 рисунками і 14 таблицями. Загальний обсяг складає </w:t>
      </w:r>
      <w:r w:rsidRPr="00787A40">
        <w:rPr>
          <w:rFonts w:ascii="Times New Roman CYR" w:eastAsia="Times New Roman" w:hAnsi="Times New Roman CYR" w:cs="Times New Roman CYR"/>
          <w:kern w:val="0"/>
          <w:sz w:val="28"/>
          <w:szCs w:val="28"/>
          <w:shd w:val="clear" w:color="auto" w:fill="FFFF00"/>
          <w:lang w:val="uk-UA"/>
        </w:rPr>
        <w:t>149 сторінок</w:t>
      </w:r>
      <w:r w:rsidRPr="00787A40">
        <w:rPr>
          <w:rFonts w:ascii="Times New Roman CYR" w:eastAsia="Times New Roman" w:hAnsi="Times New Roman CYR" w:cs="Times New Roman CYR"/>
          <w:kern w:val="0"/>
          <w:sz w:val="28"/>
          <w:szCs w:val="28"/>
          <w:lang w:val="uk-UA"/>
        </w:rPr>
        <w:t>.</w:t>
      </w:r>
    </w:p>
    <w:p w:rsidR="00787A40" w:rsidRDefault="00787A40" w:rsidP="00787A40">
      <w:pPr>
        <w:tabs>
          <w:tab w:val="clear" w:pos="709"/>
        </w:tabs>
        <w:suppressAutoHyphens w:val="0"/>
        <w:spacing w:after="0" w:line="235" w:lineRule="exact"/>
        <w:ind w:left="20" w:right="20" w:firstLine="300"/>
        <w:rPr>
          <w:lang w:val="uk-UA"/>
        </w:rPr>
      </w:pPr>
    </w:p>
    <w:p w:rsidR="00787A40" w:rsidRDefault="00787A40" w:rsidP="00787A40">
      <w:pPr>
        <w:tabs>
          <w:tab w:val="clear" w:pos="709"/>
        </w:tabs>
        <w:suppressAutoHyphens w:val="0"/>
        <w:spacing w:after="0" w:line="235" w:lineRule="exact"/>
        <w:ind w:left="20" w:right="20" w:firstLine="300"/>
        <w:rPr>
          <w:lang w:val="uk-UA"/>
        </w:rPr>
      </w:pPr>
    </w:p>
    <w:p w:rsidR="00787A40" w:rsidRDefault="00787A40" w:rsidP="00787A40">
      <w:pPr>
        <w:tabs>
          <w:tab w:val="clear" w:pos="709"/>
        </w:tabs>
        <w:suppressAutoHyphens w:val="0"/>
        <w:spacing w:after="0" w:line="235" w:lineRule="exact"/>
        <w:ind w:left="20" w:right="20" w:firstLine="300"/>
        <w:rPr>
          <w:lang w:val="uk-UA"/>
        </w:rPr>
      </w:pPr>
    </w:p>
    <w:p w:rsidR="00787A40" w:rsidRDefault="00787A40" w:rsidP="00787A40">
      <w:pPr>
        <w:tabs>
          <w:tab w:val="clear" w:pos="709"/>
        </w:tabs>
        <w:suppressAutoHyphens w:val="0"/>
        <w:spacing w:after="0" w:line="235" w:lineRule="exact"/>
        <w:ind w:left="20" w:right="20" w:firstLine="300"/>
        <w:rPr>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bCs/>
          <w:kern w:val="0"/>
          <w:sz w:val="28"/>
          <w:szCs w:val="28"/>
          <w:lang w:val="uk-UA"/>
        </w:rPr>
      </w:pPr>
      <w:r w:rsidRPr="00787A40">
        <w:rPr>
          <w:rFonts w:ascii="Times New Roman CYR" w:eastAsia="Times New Roman" w:hAnsi="Times New Roman CYR" w:cs="Times New Roman CYR"/>
          <w:bCs/>
          <w:kern w:val="0"/>
          <w:sz w:val="28"/>
          <w:szCs w:val="28"/>
          <w:lang w:val="uk-UA"/>
        </w:rPr>
        <w:t>ВИСНОВКИ</w:t>
      </w: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w:eastAsia="Times New Roman" w:hAnsi="Times New Roman" w:cs="Times New Roman"/>
          <w:b/>
          <w:bCs/>
          <w:kern w:val="0"/>
          <w:sz w:val="16"/>
          <w:szCs w:val="16"/>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w:eastAsia="Times New Roman" w:hAnsi="Times New Roman" w:cs="Times New Roman"/>
          <w:b/>
          <w:bCs/>
          <w:kern w:val="0"/>
          <w:sz w:val="16"/>
          <w:szCs w:val="16"/>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w:eastAsia="Times New Roman" w:hAnsi="Times New Roman" w:cs="Times New Roman"/>
          <w:b/>
          <w:bCs/>
          <w:kern w:val="0"/>
          <w:sz w:val="16"/>
          <w:szCs w:val="16"/>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w:eastAsia="Times New Roman" w:hAnsi="Times New Roman" w:cs="Times New Roman"/>
          <w:b/>
          <w:bCs/>
          <w:kern w:val="0"/>
          <w:sz w:val="16"/>
          <w:szCs w:val="16"/>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Комплексним медико-соціальним дослідженням виявлено особливості фінансування сучасної системи охорони здоров’я на регіональному рівні та доведено її неспроможність забезпечити потреби населення в якісній медичній допомозі. Науково обґрунтовано та розроблено якісно нову модель фінансового забезпечення закладів охорони здоров’я на основі добровільного медичного страхування, бюджетної медицини та державно-приватного партнерства, впровадження основних елементів якої довело її медичну, соціальну та економічну ефективність.</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1. </w:t>
      </w:r>
      <w:r w:rsidRPr="00787A40">
        <w:rPr>
          <w:rFonts w:ascii="Times New Roman CYR" w:eastAsia="Times New Roman" w:hAnsi="Times New Roman CYR" w:cs="Times New Roman CYR"/>
          <w:kern w:val="0"/>
          <w:sz w:val="28"/>
          <w:szCs w:val="28"/>
          <w:lang w:val="uk-UA"/>
        </w:rPr>
        <w:t xml:space="preserve">За результатами аналізу соціально-економічної, медико-демографічної ситуації в Сумській області встановлено, </w:t>
      </w:r>
      <w:r w:rsidRPr="00787A40">
        <w:rPr>
          <w:rFonts w:ascii="Times New Roman CYR" w:eastAsia="Times New Roman" w:hAnsi="Times New Roman CYR" w:cs="Times New Roman CYR"/>
          <w:spacing w:val="-2"/>
          <w:kern w:val="0"/>
          <w:sz w:val="28"/>
          <w:szCs w:val="28"/>
          <w:lang w:val="uk-UA"/>
        </w:rPr>
        <w:t>що частка осіб працездатного віку в міських поселеннях становить 63,0</w:t>
      </w:r>
      <w:r w:rsidRPr="00787A40">
        <w:rPr>
          <w:rFonts w:ascii="Times New Roman" w:eastAsia="Times New Roman" w:hAnsi="Times New Roman" w:cs="Times New Roman"/>
          <w:spacing w:val="-2"/>
          <w:kern w:val="0"/>
          <w:sz w:val="28"/>
          <w:szCs w:val="28"/>
          <w:lang w:val="uk-UA"/>
        </w:rPr>
        <w:t xml:space="preserve">±2,3% </w:t>
      </w:r>
      <w:r w:rsidRPr="00787A40">
        <w:rPr>
          <w:rFonts w:ascii="Times New Roman CYR" w:eastAsia="Times New Roman" w:hAnsi="Times New Roman CYR" w:cs="Times New Roman CYR"/>
          <w:spacing w:val="-2"/>
          <w:kern w:val="0"/>
          <w:sz w:val="28"/>
          <w:szCs w:val="28"/>
          <w:lang w:val="uk-UA"/>
        </w:rPr>
        <w:t>від загальної кількості населення, у сільській місцевості – 55,2</w:t>
      </w:r>
      <w:r w:rsidRPr="00787A40">
        <w:rPr>
          <w:rFonts w:ascii="Times New Roman" w:eastAsia="Times New Roman" w:hAnsi="Times New Roman" w:cs="Times New Roman"/>
          <w:spacing w:val="-2"/>
          <w:kern w:val="0"/>
          <w:sz w:val="28"/>
          <w:szCs w:val="28"/>
          <w:lang w:val="uk-UA"/>
        </w:rPr>
        <w:t xml:space="preserve">±2,2%, </w:t>
      </w:r>
      <w:r w:rsidRPr="00787A40">
        <w:rPr>
          <w:rFonts w:ascii="Times New Roman CYR" w:eastAsia="Times New Roman" w:hAnsi="Times New Roman CYR" w:cs="Times New Roman CYR"/>
          <w:spacing w:val="-2"/>
          <w:kern w:val="0"/>
          <w:sz w:val="28"/>
          <w:szCs w:val="28"/>
          <w:lang w:val="uk-UA"/>
        </w:rPr>
        <w:t>осіб молодших за працездатний вік 13,8</w:t>
      </w:r>
      <w:r w:rsidRPr="00787A40">
        <w:rPr>
          <w:rFonts w:ascii="Times New Roman" w:eastAsia="Times New Roman" w:hAnsi="Times New Roman" w:cs="Times New Roman"/>
          <w:spacing w:val="-2"/>
          <w:kern w:val="0"/>
          <w:sz w:val="28"/>
          <w:szCs w:val="28"/>
          <w:lang w:val="uk-UA"/>
        </w:rPr>
        <w:t xml:space="preserve">±0,8% </w:t>
      </w:r>
      <w:r w:rsidRPr="00787A40">
        <w:rPr>
          <w:rFonts w:ascii="Times New Roman CYR" w:eastAsia="Times New Roman" w:hAnsi="Times New Roman CYR" w:cs="Times New Roman CYR"/>
          <w:spacing w:val="-2"/>
          <w:kern w:val="0"/>
          <w:sz w:val="28"/>
          <w:szCs w:val="28"/>
          <w:lang w:val="uk-UA"/>
        </w:rPr>
        <w:t>та 14,1</w:t>
      </w:r>
      <w:r w:rsidRPr="00787A40">
        <w:rPr>
          <w:rFonts w:ascii="Times New Roman" w:eastAsia="Times New Roman" w:hAnsi="Times New Roman" w:cs="Times New Roman"/>
          <w:spacing w:val="-2"/>
          <w:kern w:val="0"/>
          <w:sz w:val="28"/>
          <w:szCs w:val="28"/>
          <w:lang w:val="uk-UA"/>
        </w:rPr>
        <w:t xml:space="preserve">±0,9% </w:t>
      </w:r>
      <w:r w:rsidRPr="00787A40">
        <w:rPr>
          <w:rFonts w:ascii="Times New Roman CYR" w:eastAsia="Times New Roman" w:hAnsi="Times New Roman CYR" w:cs="Times New Roman CYR"/>
          <w:spacing w:val="-2"/>
          <w:kern w:val="0"/>
          <w:sz w:val="28"/>
          <w:szCs w:val="28"/>
          <w:lang w:val="uk-UA"/>
        </w:rPr>
        <w:t>відповідно, що свідчіть про наявність потенціалу для розвитку програм добровільного медичного страхування;</w:t>
      </w:r>
      <w:r w:rsidRPr="00787A40">
        <w:rPr>
          <w:rFonts w:ascii="Times New Roman CYR" w:eastAsia="Times New Roman" w:hAnsi="Times New Roman CYR" w:cs="Times New Roman CYR"/>
          <w:kern w:val="0"/>
          <w:sz w:val="28"/>
          <w:szCs w:val="28"/>
          <w:lang w:val="uk-UA"/>
        </w:rPr>
        <w:t xml:space="preserve"> найбільший ризик захворіти у адміністративних районах (місто Суми – 96,53</w:t>
      </w:r>
      <w:r w:rsidRPr="00787A40">
        <w:rPr>
          <w:rFonts w:ascii="Times New Roman" w:eastAsia="Times New Roman" w:hAnsi="Times New Roman" w:cs="Times New Roman"/>
          <w:kern w:val="0"/>
          <w:sz w:val="28"/>
          <w:szCs w:val="28"/>
          <w:lang w:val="uk-UA"/>
        </w:rPr>
        <w:t xml:space="preserve">±7,3%; </w:t>
      </w:r>
      <w:r w:rsidRPr="00787A40">
        <w:rPr>
          <w:rFonts w:ascii="Times New Roman CYR" w:eastAsia="Times New Roman" w:hAnsi="Times New Roman CYR" w:cs="Times New Roman CYR"/>
          <w:kern w:val="0"/>
          <w:sz w:val="28"/>
          <w:szCs w:val="28"/>
          <w:lang w:val="uk-UA"/>
        </w:rPr>
        <w:t>Кролевецький район –76,43</w:t>
      </w:r>
      <w:r w:rsidRPr="00787A40">
        <w:rPr>
          <w:rFonts w:ascii="Times New Roman" w:eastAsia="Times New Roman" w:hAnsi="Times New Roman" w:cs="Times New Roman"/>
          <w:kern w:val="0"/>
          <w:sz w:val="28"/>
          <w:szCs w:val="28"/>
          <w:lang w:val="uk-UA"/>
        </w:rPr>
        <w:t xml:space="preserve">±6,2%; </w:t>
      </w:r>
      <w:r w:rsidRPr="00787A40">
        <w:rPr>
          <w:rFonts w:ascii="Times New Roman CYR" w:eastAsia="Times New Roman" w:hAnsi="Times New Roman CYR" w:cs="Times New Roman CYR"/>
          <w:kern w:val="0"/>
          <w:sz w:val="28"/>
          <w:szCs w:val="28"/>
          <w:lang w:val="uk-UA"/>
        </w:rPr>
        <w:t>Охтирський район – 72,95</w:t>
      </w:r>
      <w:r w:rsidRPr="00787A40">
        <w:rPr>
          <w:rFonts w:ascii="Times New Roman" w:eastAsia="Times New Roman" w:hAnsi="Times New Roman" w:cs="Times New Roman"/>
          <w:kern w:val="0"/>
          <w:sz w:val="28"/>
          <w:szCs w:val="28"/>
          <w:lang w:val="uk-UA"/>
        </w:rPr>
        <w:t xml:space="preserve">±6,1%) </w:t>
      </w:r>
      <w:r w:rsidRPr="00787A40">
        <w:rPr>
          <w:rFonts w:ascii="Times New Roman CYR" w:eastAsia="Times New Roman" w:hAnsi="Times New Roman CYR" w:cs="Times New Roman CYR"/>
          <w:kern w:val="0"/>
          <w:sz w:val="28"/>
          <w:szCs w:val="28"/>
          <w:lang w:val="uk-UA"/>
        </w:rPr>
        <w:t>із наявними  факторами екологічного забруднення й нижчим соціально-економічним розвитком.</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2. </w:t>
      </w:r>
      <w:r w:rsidRPr="00787A40">
        <w:rPr>
          <w:rFonts w:ascii="Times New Roman CYR" w:eastAsia="Times New Roman" w:hAnsi="Times New Roman CYR" w:cs="Times New Roman CYR"/>
          <w:kern w:val="0"/>
          <w:sz w:val="28"/>
          <w:szCs w:val="28"/>
          <w:lang w:val="uk-UA"/>
        </w:rPr>
        <w:t xml:space="preserve">Визначено основні групи факторів ризику за критерієм пріоритетного впливу на стан здоров’я населення: соціально-економічні індикатори розвитку економіки (Rпкк=0,90; D=81,0%); стан екології (Rпкк=0,80; D=64,0%); рівень розвитку охорони здоров’я (Rпкк=0,75; D=56,2%) та ризики, пов’язані з розповсюдженістю окремих захворювань і смертністю від них (Rпкк=0,52; D=27,0%). Підтверджено найбільший ризик захворіти на хвороби системи кровообігу (31,35% у 2008 р. до 31,87% – у 2012 р.), в структурі яких виділяється найбільший відсоток хворих на гіпертонічну хворобу (13,20% у 2008 р. та 14,33% – у 2012 р.). </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3. </w:t>
      </w:r>
      <w:r w:rsidRPr="00787A40">
        <w:rPr>
          <w:rFonts w:ascii="Times New Roman CYR" w:eastAsia="Times New Roman" w:hAnsi="Times New Roman CYR" w:cs="Times New Roman CYR"/>
          <w:kern w:val="0"/>
          <w:sz w:val="28"/>
          <w:szCs w:val="28"/>
          <w:lang w:val="uk-UA"/>
        </w:rPr>
        <w:t xml:space="preserve">Доведено, що в Сумській області існують достатні передумови розвитку добровільного медичного страхування на засадах державно-приватного партнерства у вигляді сформованого нормативно-правового забезпечення; п’яти відсотків населення області, яке користується програмами добровільного медичного страхування; інформаційно-технологічної платформи (забезпеченість персональними комп’ютерами понад 80%; 70% закладів підключені до мережі Інтернет). </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spacing w:val="-6"/>
          <w:kern w:val="0"/>
          <w:sz w:val="28"/>
          <w:szCs w:val="28"/>
          <w:lang w:val="uk-UA"/>
        </w:rPr>
      </w:pPr>
      <w:r w:rsidRPr="00787A40">
        <w:rPr>
          <w:rFonts w:ascii="Times New Roman" w:eastAsia="Times New Roman" w:hAnsi="Times New Roman" w:cs="Times New Roman"/>
          <w:kern w:val="0"/>
          <w:sz w:val="28"/>
          <w:szCs w:val="28"/>
          <w:lang w:val="uk-UA"/>
        </w:rPr>
        <w:t xml:space="preserve">4. </w:t>
      </w:r>
      <w:r w:rsidRPr="00787A40">
        <w:rPr>
          <w:rFonts w:ascii="Times New Roman CYR" w:eastAsia="Times New Roman" w:hAnsi="Times New Roman CYR" w:cs="Times New Roman CYR"/>
          <w:kern w:val="0"/>
          <w:sz w:val="28"/>
          <w:szCs w:val="28"/>
          <w:lang w:val="uk-UA"/>
        </w:rPr>
        <w:t xml:space="preserve">Обґрунтовано функціонально-структурну модель добровільного медичного страхування на засадах державно-приватного партнерства, організація </w:t>
      </w:r>
      <w:r w:rsidRPr="00787A40">
        <w:rPr>
          <w:rFonts w:ascii="Times New Roman CYR" w:eastAsia="Times New Roman" w:hAnsi="Times New Roman CYR" w:cs="Times New Roman CYR"/>
          <w:spacing w:val="-2"/>
          <w:kern w:val="0"/>
          <w:sz w:val="28"/>
          <w:szCs w:val="28"/>
          <w:lang w:val="uk-UA"/>
        </w:rPr>
        <w:t xml:space="preserve">діяльності якої забезпечується координаційною радою при обласній державній адміністрації, до складу якої входять представники провайдерів медичних послуг, громадськості та страхових компаній. Головною функцією координаційної ради є здійснення нагляду за дотриманням угод реалізації загальної діяльності бюджетної медицини та добровільного медичного страхування, а </w:t>
      </w:r>
      <w:r w:rsidRPr="00787A40">
        <w:rPr>
          <w:rFonts w:ascii="Times New Roman CYR" w:eastAsia="Times New Roman" w:hAnsi="Times New Roman CYR" w:cs="Times New Roman CYR"/>
          <w:spacing w:val="-6"/>
          <w:kern w:val="0"/>
          <w:sz w:val="28"/>
          <w:szCs w:val="28"/>
          <w:lang w:val="uk-UA"/>
        </w:rPr>
        <w:t>державно-приватне партнерство розглядається як соціальна ієрархічна складова управління системою надання медичної допомоги.</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spacing w:val="-6"/>
          <w:kern w:val="0"/>
          <w:sz w:val="28"/>
          <w:szCs w:val="28"/>
          <w:lang w:val="uk-UA"/>
        </w:rPr>
        <w:t xml:space="preserve">5. </w:t>
      </w:r>
      <w:r w:rsidRPr="00787A40">
        <w:rPr>
          <w:rFonts w:ascii="Times New Roman CYR" w:eastAsia="Times New Roman" w:hAnsi="Times New Roman CYR" w:cs="Times New Roman CYR"/>
          <w:kern w:val="0"/>
          <w:sz w:val="28"/>
          <w:szCs w:val="28"/>
          <w:lang w:val="uk-UA"/>
        </w:rPr>
        <w:t>Обґрунтовано модель інформаційно-програмного забезпечення підтримки функціонування системи добровільного медичного страхування, в основу якої покладено принцип управлінського обліку, із сформованим інформаційним блоком, в якому якісно новим елементом є інформаційно-довідкова система, що включає дані щодо контрактів, резервування, провайдерів послуг, заявки на організацію послуг, біллінг, шпиталізацію, специфікацію та спеціально організований контакт-центр. Новим елементом моделі є наявність менеджера по роботі зі страховими компаніями, який генерує інформаційно-довідкові джерела та готує варіанти управлінських рішень.</w:t>
      </w:r>
    </w:p>
    <w:p w:rsidR="00787A40" w:rsidRPr="00787A40" w:rsidRDefault="00787A40" w:rsidP="00787A40">
      <w:pPr>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6. </w:t>
      </w:r>
      <w:r w:rsidRPr="00787A40">
        <w:rPr>
          <w:rFonts w:ascii="Times New Roman CYR" w:eastAsia="Times New Roman" w:hAnsi="Times New Roman CYR" w:cs="Times New Roman CYR"/>
          <w:kern w:val="0"/>
          <w:sz w:val="28"/>
          <w:szCs w:val="28"/>
          <w:lang w:val="uk-UA"/>
        </w:rPr>
        <w:t>За результатами експертної оцінки запропонованої моделі добровільного медичного страхування на засадах державно-приватного партнерства доведено високий ступінь узгодженості думок експертів (w=0,84) щодо рівня медичної (сумарно 43</w:t>
      </w:r>
      <w:r w:rsidRPr="00787A40">
        <w:rPr>
          <w:rFonts w:ascii="Times New Roman" w:eastAsia="Times New Roman" w:hAnsi="Times New Roman" w:cs="Times New Roman"/>
          <w:kern w:val="0"/>
          <w:sz w:val="28"/>
          <w:szCs w:val="28"/>
          <w:lang w:val="uk-UA"/>
        </w:rPr>
        <w:t xml:space="preserve">±2,7 </w:t>
      </w:r>
      <w:r w:rsidRPr="00787A40">
        <w:rPr>
          <w:rFonts w:ascii="Times New Roman CYR" w:eastAsia="Times New Roman" w:hAnsi="Times New Roman CYR" w:cs="Times New Roman CYR"/>
          <w:kern w:val="0"/>
          <w:sz w:val="28"/>
          <w:szCs w:val="28"/>
          <w:lang w:val="uk-UA"/>
        </w:rPr>
        <w:t>бали з 50), соціальної (сумарно 27</w:t>
      </w:r>
      <w:r w:rsidRPr="00787A40">
        <w:rPr>
          <w:rFonts w:ascii="Times New Roman" w:eastAsia="Times New Roman" w:hAnsi="Times New Roman" w:cs="Times New Roman"/>
          <w:kern w:val="0"/>
          <w:sz w:val="28"/>
          <w:szCs w:val="28"/>
          <w:lang w:val="uk-UA"/>
        </w:rPr>
        <w:t xml:space="preserve">±2,2 </w:t>
      </w:r>
      <w:r w:rsidRPr="00787A40">
        <w:rPr>
          <w:rFonts w:ascii="Times New Roman CYR" w:eastAsia="Times New Roman" w:hAnsi="Times New Roman CYR" w:cs="Times New Roman CYR"/>
          <w:kern w:val="0"/>
          <w:sz w:val="28"/>
          <w:szCs w:val="28"/>
          <w:lang w:val="uk-UA"/>
        </w:rPr>
        <w:t>балів з 30) та економічної (сумарно 17</w:t>
      </w:r>
      <w:r w:rsidRPr="00787A40">
        <w:rPr>
          <w:rFonts w:ascii="Times New Roman" w:eastAsia="Times New Roman" w:hAnsi="Times New Roman" w:cs="Times New Roman"/>
          <w:kern w:val="0"/>
          <w:sz w:val="28"/>
          <w:szCs w:val="28"/>
          <w:lang w:val="uk-UA"/>
        </w:rPr>
        <w:t xml:space="preserve">±0,8 </w:t>
      </w:r>
      <w:r w:rsidRPr="00787A40">
        <w:rPr>
          <w:rFonts w:ascii="Times New Roman CYR" w:eastAsia="Times New Roman" w:hAnsi="Times New Roman CYR" w:cs="Times New Roman CYR"/>
          <w:kern w:val="0"/>
          <w:sz w:val="28"/>
          <w:szCs w:val="28"/>
          <w:lang w:val="uk-UA"/>
        </w:rPr>
        <w:t>балів з 20) ефективності.</w:t>
      </w:r>
    </w:p>
    <w:p w:rsidR="00787A40" w:rsidRPr="00787A40" w:rsidRDefault="00787A40" w:rsidP="00787A40">
      <w:pPr>
        <w:widowControl/>
        <w:autoSpaceDE w:val="0"/>
        <w:autoSpaceDN w:val="0"/>
        <w:adjustRightInd w:val="0"/>
        <w:spacing w:after="0" w:line="360" w:lineRule="auto"/>
        <w:ind w:firstLine="709"/>
        <w:jc w:val="center"/>
        <w:rPr>
          <w:rFonts w:ascii="Times New Roman" w:eastAsia="Times New Roman" w:hAnsi="Times New Roman" w:cs="Times New Roman"/>
          <w:b/>
          <w:bCs/>
          <w:kern w:val="0"/>
          <w:sz w:val="28"/>
          <w:szCs w:val="28"/>
          <w:lang w:val="uk-UA"/>
        </w:rPr>
      </w:pPr>
    </w:p>
    <w:p w:rsidR="00787A40" w:rsidRPr="00787A40" w:rsidRDefault="00787A40" w:rsidP="00787A40">
      <w:pPr>
        <w:widowControl/>
        <w:autoSpaceDE w:val="0"/>
        <w:autoSpaceDN w:val="0"/>
        <w:adjustRightInd w:val="0"/>
        <w:spacing w:after="0" w:line="360" w:lineRule="auto"/>
        <w:ind w:firstLine="709"/>
        <w:jc w:val="center"/>
        <w:rPr>
          <w:rFonts w:ascii="Times New Roman CYR" w:eastAsia="Times New Roman" w:hAnsi="Times New Roman CYR" w:cs="Times New Roman CYR"/>
          <w:bCs/>
          <w:kern w:val="0"/>
          <w:sz w:val="28"/>
          <w:szCs w:val="28"/>
          <w:lang w:val="uk-UA"/>
        </w:rPr>
      </w:pPr>
      <w:r w:rsidRPr="00787A40">
        <w:rPr>
          <w:rFonts w:ascii="Times New Roman CYR" w:eastAsia="Times New Roman" w:hAnsi="Times New Roman CYR" w:cs="Times New Roman CYR"/>
          <w:bCs/>
          <w:kern w:val="0"/>
          <w:sz w:val="28"/>
          <w:szCs w:val="28"/>
          <w:lang w:val="uk-UA"/>
        </w:rPr>
        <w:t>ПРАКТИЧНІ РЕКОМЕНДАЦІЇ</w:t>
      </w:r>
    </w:p>
    <w:p w:rsidR="00787A40" w:rsidRPr="00787A40" w:rsidRDefault="00787A40" w:rsidP="00787A40">
      <w:pPr>
        <w:widowControl/>
        <w:autoSpaceDE w:val="0"/>
        <w:autoSpaceDN w:val="0"/>
        <w:adjustRightInd w:val="0"/>
        <w:spacing w:after="0" w:line="360" w:lineRule="auto"/>
        <w:ind w:firstLine="709"/>
        <w:jc w:val="center"/>
        <w:rPr>
          <w:rFonts w:ascii="Times New Roman" w:eastAsia="Times New Roman" w:hAnsi="Times New Roman" w:cs="Times New Roman"/>
          <w:b/>
          <w:bCs/>
          <w:kern w:val="0"/>
          <w:sz w:val="28"/>
          <w:szCs w:val="28"/>
          <w:lang w:val="uk-UA"/>
        </w:rPr>
      </w:pPr>
    </w:p>
    <w:p w:rsidR="00787A40" w:rsidRPr="00787A40" w:rsidRDefault="00787A40" w:rsidP="00787A40">
      <w:pPr>
        <w:widowControl/>
        <w:autoSpaceDE w:val="0"/>
        <w:autoSpaceDN w:val="0"/>
        <w:adjustRightInd w:val="0"/>
        <w:spacing w:after="0" w:line="360" w:lineRule="auto"/>
        <w:ind w:firstLine="709"/>
        <w:jc w:val="center"/>
        <w:rPr>
          <w:rFonts w:ascii="Times New Roman" w:eastAsia="Times New Roman" w:hAnsi="Times New Roman" w:cs="Times New Roman"/>
          <w:b/>
          <w:bCs/>
          <w:kern w:val="0"/>
          <w:sz w:val="28"/>
          <w:szCs w:val="28"/>
          <w:lang w:val="uk-UA"/>
        </w:rPr>
      </w:pPr>
    </w:p>
    <w:p w:rsidR="00787A40" w:rsidRPr="00787A40" w:rsidRDefault="00787A40" w:rsidP="00787A40">
      <w:pPr>
        <w:widowControl/>
        <w:autoSpaceDE w:val="0"/>
        <w:autoSpaceDN w:val="0"/>
        <w:adjustRightInd w:val="0"/>
        <w:spacing w:after="0" w:line="360" w:lineRule="auto"/>
        <w:ind w:firstLine="709"/>
        <w:jc w:val="center"/>
        <w:rPr>
          <w:rFonts w:ascii="Times New Roman" w:eastAsia="Times New Roman" w:hAnsi="Times New Roman" w:cs="Times New Roman"/>
          <w:b/>
          <w:bCs/>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 xml:space="preserve">Результати проведеного наукового дослідження дозволяють запропонувати для впровадження в практику організації медичної допомоги населенню сучасну функціонально-структурну модель добровільного медичного страхування на засадах  </w:t>
      </w:r>
      <w:r w:rsidRPr="00787A40">
        <w:rPr>
          <w:rFonts w:ascii="Times New Roman CYR" w:eastAsia="Times New Roman" w:hAnsi="Times New Roman CYR" w:cs="Times New Roman CYR"/>
          <w:spacing w:val="-6"/>
          <w:kern w:val="0"/>
          <w:sz w:val="28"/>
          <w:szCs w:val="28"/>
          <w:lang w:val="uk-UA"/>
        </w:rPr>
        <w:t xml:space="preserve">бюджетної медицини та </w:t>
      </w:r>
      <w:r w:rsidRPr="00787A40">
        <w:rPr>
          <w:rFonts w:ascii="Times New Roman CYR" w:eastAsia="Times New Roman" w:hAnsi="Times New Roman CYR" w:cs="Times New Roman CYR"/>
          <w:kern w:val="0"/>
          <w:sz w:val="28"/>
          <w:szCs w:val="28"/>
          <w:lang w:val="uk-UA"/>
        </w:rPr>
        <w:t>державно-приватного партнерства, для чого необхідно:</w:t>
      </w:r>
    </w:p>
    <w:p w:rsidR="00787A40" w:rsidRPr="00787A40" w:rsidRDefault="00787A40" w:rsidP="00787A40">
      <w:pPr>
        <w:widowControl/>
        <w:numPr>
          <w:ilvl w:val="0"/>
          <w:numId w:val="48"/>
        </w:numPr>
        <w:tabs>
          <w:tab w:val="clear" w:pos="709"/>
          <w:tab w:val="left" w:pos="567"/>
          <w:tab w:val="left" w:pos="1080"/>
        </w:tabs>
        <w:suppressAutoHyphens w:val="0"/>
        <w:autoSpaceDE w:val="0"/>
        <w:autoSpaceDN w:val="0"/>
        <w:adjustRightInd w:val="0"/>
        <w:spacing w:after="0" w:line="360" w:lineRule="auto"/>
        <w:ind w:firstLine="709"/>
        <w:jc w:val="left"/>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Міністерству охорони здоров’я України:</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caps/>
          <w:kern w:val="0"/>
          <w:sz w:val="28"/>
          <w:szCs w:val="28"/>
          <w:lang w:val="uk-UA"/>
        </w:rPr>
        <w:t xml:space="preserve">- </w:t>
      </w:r>
      <w:r w:rsidRPr="00787A40">
        <w:rPr>
          <w:rFonts w:ascii="Times New Roman CYR" w:eastAsia="Times New Roman" w:hAnsi="Times New Roman CYR" w:cs="Times New Roman CYR"/>
          <w:kern w:val="0"/>
          <w:sz w:val="28"/>
          <w:szCs w:val="28"/>
          <w:lang w:val="uk-UA"/>
        </w:rPr>
        <w:t>при розробці нормативно-правових документів враховувати основні положення запропонованої моделі;</w:t>
      </w:r>
    </w:p>
    <w:p w:rsidR="00787A40" w:rsidRPr="00787A40" w:rsidRDefault="00787A40" w:rsidP="00787A40">
      <w:pPr>
        <w:tabs>
          <w:tab w:val="clear" w:pos="709"/>
          <w:tab w:val="center" w:pos="4153"/>
          <w:tab w:val="right" w:pos="8306"/>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 xml:space="preserve">- </w:t>
      </w:r>
      <w:r w:rsidRPr="00787A40">
        <w:rPr>
          <w:rFonts w:ascii="Times New Roman CYR" w:eastAsia="Times New Roman" w:hAnsi="Times New Roman CYR" w:cs="Times New Roman CYR"/>
          <w:kern w:val="0"/>
          <w:sz w:val="28"/>
          <w:szCs w:val="28"/>
          <w:lang w:val="uk-UA"/>
        </w:rPr>
        <w:t>розробити пропозиції щодо нормативно-правових засад взаємодії органів управління охорони здоров’я із страховими компаніями з питань впровадження державно-приватного партнерства.</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caps/>
          <w:kern w:val="0"/>
          <w:sz w:val="28"/>
          <w:szCs w:val="28"/>
          <w:lang w:val="uk-UA"/>
        </w:rPr>
        <w:t xml:space="preserve">2. </w:t>
      </w:r>
      <w:r w:rsidRPr="00787A40">
        <w:rPr>
          <w:rFonts w:ascii="Times New Roman CYR" w:eastAsia="Times New Roman" w:hAnsi="Times New Roman CYR" w:cs="Times New Roman CYR"/>
          <w:kern w:val="0"/>
          <w:sz w:val="28"/>
          <w:szCs w:val="28"/>
          <w:lang w:val="uk-UA"/>
        </w:rPr>
        <w:t>Проблемній комісії МОЗ та НАМН України "Соціальна медицина":</w:t>
      </w:r>
    </w:p>
    <w:p w:rsidR="00787A40" w:rsidRPr="00787A40" w:rsidRDefault="00787A40" w:rsidP="00787A40">
      <w:pPr>
        <w:tabs>
          <w:tab w:val="clear" w:pos="709"/>
        </w:tabs>
        <w:autoSpaceDE w:val="0"/>
        <w:autoSpaceDN w:val="0"/>
        <w:adjustRightInd w:val="0"/>
        <w:spacing w:after="0" w:line="360" w:lineRule="auto"/>
        <w:ind w:firstLine="709"/>
        <w:rPr>
          <w:rFonts w:ascii="Times New Roman CYR" w:eastAsia="Times New Roman" w:hAnsi="Times New Roman CYR" w:cs="Times New Roman CYR"/>
          <w:caps/>
          <w:kern w:val="0"/>
          <w:sz w:val="28"/>
          <w:szCs w:val="28"/>
          <w:lang w:val="uk-UA"/>
        </w:rPr>
      </w:pPr>
      <w:r w:rsidRPr="00787A40">
        <w:rPr>
          <w:rFonts w:ascii="Times New Roman" w:eastAsia="Times New Roman" w:hAnsi="Times New Roman" w:cs="Times New Roman"/>
          <w:caps/>
          <w:kern w:val="0"/>
          <w:sz w:val="28"/>
          <w:szCs w:val="28"/>
          <w:lang w:val="uk-UA"/>
        </w:rPr>
        <w:t xml:space="preserve">- </w:t>
      </w:r>
      <w:r w:rsidRPr="00787A40">
        <w:rPr>
          <w:rFonts w:ascii="Times New Roman CYR" w:eastAsia="Times New Roman" w:hAnsi="Times New Roman CYR" w:cs="Times New Roman CYR"/>
          <w:kern w:val="0"/>
          <w:sz w:val="28"/>
          <w:szCs w:val="28"/>
          <w:lang w:val="uk-UA"/>
        </w:rPr>
        <w:t xml:space="preserve">пропонувати виконання окремих наукових досліджень з проблем добровільного медичного страхування на засадах  </w:t>
      </w:r>
      <w:r w:rsidRPr="00787A40">
        <w:rPr>
          <w:rFonts w:ascii="Times New Roman CYR" w:eastAsia="Times New Roman" w:hAnsi="Times New Roman CYR" w:cs="Times New Roman CYR"/>
          <w:spacing w:val="-6"/>
          <w:kern w:val="0"/>
          <w:sz w:val="28"/>
          <w:szCs w:val="28"/>
          <w:lang w:val="uk-UA"/>
        </w:rPr>
        <w:t xml:space="preserve">бюджетної медицини та </w:t>
      </w:r>
      <w:r w:rsidRPr="00787A40">
        <w:rPr>
          <w:rFonts w:ascii="Times New Roman CYR" w:eastAsia="Times New Roman" w:hAnsi="Times New Roman CYR" w:cs="Times New Roman CYR"/>
          <w:kern w:val="0"/>
          <w:sz w:val="28"/>
          <w:szCs w:val="28"/>
          <w:lang w:val="uk-UA"/>
        </w:rPr>
        <w:t>державно-приватного партнерства.</w:t>
      </w: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r w:rsidRPr="00787A40">
        <w:rPr>
          <w:rFonts w:ascii="Times New Roman CYR" w:eastAsia="Times New Roman" w:hAnsi="Times New Roman CYR" w:cs="Times New Roman CYR"/>
          <w:kern w:val="0"/>
          <w:sz w:val="28"/>
          <w:szCs w:val="28"/>
          <w:lang w:val="uk-UA"/>
        </w:rPr>
        <w:t>ПЕРЕЛІК ВИКОРИСТАНИХ ДЖЕРЕЛ</w:t>
      </w: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widowControl/>
        <w:tabs>
          <w:tab w:val="clear" w:pos="709"/>
        </w:tabs>
        <w:autoSpaceDE w:val="0"/>
        <w:autoSpaceDN w:val="0"/>
        <w:adjustRightInd w:val="0"/>
        <w:spacing w:after="0" w:line="360" w:lineRule="auto"/>
        <w:ind w:firstLine="709"/>
        <w:jc w:val="center"/>
        <w:rPr>
          <w:rFonts w:ascii="Times New Roman CYR" w:eastAsia="Times New Roman" w:hAnsi="Times New Roman CYR" w:cs="Times New Roman CYR"/>
          <w:kern w:val="0"/>
          <w:sz w:val="28"/>
          <w:szCs w:val="28"/>
          <w:lang w:val="uk-UA"/>
        </w:rPr>
      </w:pP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Опитування медичного персоналу та пацієнтів [Електронний ресурс]. – Режим доступу: http://www.eu–shc.com.ua/ua/news/22–8–2008/22/ — Заголовок з екрану.</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2.</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 xml:space="preserve">Баєва О. Аналіз соціально-економічного досвіду із запровадження страхової медицини [Електронний ресурс] / О. Баєва. — Режим доступу : </w:t>
      </w:r>
      <w:hyperlink r:id="rId9" w:history="1">
        <w:r w:rsidRPr="00787A40">
          <w:rPr>
            <w:rFonts w:ascii="Times New Roman CYR" w:eastAsia="Times New Roman" w:hAnsi="Times New Roman CYR" w:cs="Times New Roman CYR"/>
            <w:color w:val="000000"/>
            <w:kern w:val="0"/>
            <w:sz w:val="28"/>
            <w:szCs w:val="28"/>
            <w:lang w:val="uk-UA"/>
          </w:rPr>
          <w:t>http://www.info–library.com.ua/index.phppagemagazine&amp;show</w:t>
        </w:r>
      </w:hyperlink>
      <w:r w:rsidRPr="00787A40">
        <w:rPr>
          <w:rFonts w:ascii="Times New Roman CYR" w:eastAsia="Times New Roman" w:hAnsi="Times New Roman CYR" w:cs="Times New Roman CYR"/>
          <w:color w:val="000000"/>
          <w:kern w:val="0"/>
          <w:sz w:val="28"/>
          <w:szCs w:val="28"/>
          <w:lang w:val="uk-UA"/>
        </w:rPr>
        <w:t xml:space="preserve"> – Загол</w:t>
      </w:r>
      <w:r w:rsidRPr="00787A40">
        <w:rPr>
          <w:rFonts w:ascii="Times New Roman CYR" w:eastAsia="Times New Roman" w:hAnsi="Times New Roman CYR" w:cs="Times New Roman CYR"/>
          <w:kern w:val="0"/>
          <w:sz w:val="28"/>
          <w:szCs w:val="28"/>
          <w:lang w:val="uk-UA"/>
        </w:rPr>
        <w:t>овок з екрану.</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3.</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Кісельов Є. М. Актуальні проблеми розвитку медичного страхування в Україні / Є. М. Кісельов, С. В. Бурлаєнко, І. Г. Кірпа // Фінансові послуги. — 2009. — № 1. — С. 24 – 27.</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4.</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Нагайчук Н. Г. Суб’єктна складова добровільного медичного страхування / Н. Г. Нагайчук // Вісник КНТЕУ. — 2006. — № 1. — С. 64 – 69.</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5.</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Стецюк Т. І. Показники розвитку ринку добровільного медичного страхування в Україні / Т. І. Стецюк // Наука й економіка. — 2009. — № 4 (16), Т. 1. — С. 143 – 147.</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6.</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Черешнюк Г. С. Проблеми впровадження добровільного медичного страхування та шляхи їх розв’язання / Г. С. Черешнюк, І. В. Сергета // Фінансові послуги. — 2006. — № 2. — С. 22 – 26.</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7.</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Про страхування: закон України № 85/96–ВР від 07.03.1996 р. // Відомості Верховної Ради України. — 1996. — № 18. — С. 78.</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w:eastAsia="Times New Roman" w:hAnsi="Times New Roman" w:cs="Times New Roman"/>
          <w:kern w:val="0"/>
          <w:sz w:val="28"/>
          <w:szCs w:val="28"/>
          <w:lang w:val="uk-UA"/>
        </w:rPr>
      </w:pPr>
      <w:r w:rsidRPr="00787A40">
        <w:rPr>
          <w:rFonts w:ascii="Times New Roman" w:eastAsia="Times New Roman" w:hAnsi="Times New Roman" w:cs="Times New Roman"/>
          <w:kern w:val="0"/>
          <w:sz w:val="28"/>
          <w:szCs w:val="28"/>
          <w:lang w:val="uk-UA"/>
        </w:rPr>
        <w:t>8.</w:t>
      </w:r>
      <w:r w:rsidRPr="00787A40">
        <w:rPr>
          <w:rFonts w:ascii="Times New Roman" w:eastAsia="Times New Roman" w:hAnsi="Times New Roman" w:cs="Times New Roman"/>
          <w:kern w:val="0"/>
          <w:sz w:val="28"/>
          <w:szCs w:val="28"/>
          <w:lang w:val="uk-UA"/>
        </w:rPr>
        <w:tab/>
        <w:t xml:space="preserve">Life expectancy at birth / World Health Organization, 2011. </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9.</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Щепин О. П. Общественное здоровье и здравоохранение / О. П. Щепин,         В. А. Медик. — Санкт–Петербург : ГЭОТАР–Медиа, 2011. — 592 с.</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10.</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Медик В. А. Заболеваемость населения: История, современное состояние и методология изучения / В. А. Медик. — Санкт–Петербург : Медицина, 2003. — 512 с.</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11.</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Максимова Т. М. Современное состояние, тенденции и перспективные оценки здоровья населения / Т. М. Максимова. — М. : ПЕР СЭ, 2002. — 192 с.</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12.</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Доклад о состоянии здравоохранения в мире. 2000 г. Системы здравоохранения: улучшение деятельности / Всемирная организация здравоохранения. — Женева, 2000. — 232 с.</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13.</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Доклад о состоянии здравоохранения в Европе. 2002 г. / Европейское региональное бюро ВОЗ. – Копенгаген, 2000. – Европейская серия. – № 97. – 156 с.</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14.</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 xml:space="preserve">Доклад о состоянии здравоохранения в Европе: Действия общественного здравоохранения в целях улучшения здоровья детей и всего населения / Европейское региональное бюро ВОЗ, 2005. </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15.</w:t>
      </w:r>
      <w:r w:rsidRPr="00787A40">
        <w:rPr>
          <w:rFonts w:ascii="Times New Roman" w:eastAsia="Times New Roman" w:hAnsi="Times New Roman" w:cs="Times New Roman"/>
          <w:kern w:val="0"/>
          <w:sz w:val="28"/>
          <w:szCs w:val="28"/>
          <w:lang w:val="uk-UA"/>
        </w:rPr>
        <w:tab/>
      </w:r>
      <w:r w:rsidRPr="00787A40">
        <w:rPr>
          <w:rFonts w:ascii="Times New Roman CYR" w:eastAsia="Times New Roman" w:hAnsi="Times New Roman CYR" w:cs="Times New Roman CYR"/>
          <w:kern w:val="0"/>
          <w:sz w:val="28"/>
          <w:szCs w:val="28"/>
          <w:lang w:val="uk-UA"/>
        </w:rPr>
        <w:t>Здоровье–21: основы политики достижения здоровья для всех в Европейском регионе ВОЗ / Европейская серия по достижению здоровья для всех. – Копенгаген, 1999. — № 6. — 310 с.</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16.</w:t>
      </w:r>
      <w:r w:rsidRPr="00787A40">
        <w:rPr>
          <w:rFonts w:ascii="Times New Roman" w:eastAsia="Times New Roman" w:hAnsi="Times New Roman" w:cs="Times New Roman"/>
          <w:kern w:val="0"/>
          <w:sz w:val="28"/>
          <w:szCs w:val="28"/>
          <w:lang w:val="uk-UA"/>
        </w:rPr>
        <w:tab/>
        <w:t xml:space="preserve">Health care systems in transition: Slovenia / </w:t>
      </w:r>
      <w:r w:rsidRPr="00787A40">
        <w:rPr>
          <w:rFonts w:ascii="Times New Roman CYR" w:eastAsia="Times New Roman" w:hAnsi="Times New Roman CYR" w:cs="Times New Roman CYR"/>
          <w:kern w:val="0"/>
          <w:sz w:val="28"/>
          <w:szCs w:val="28"/>
          <w:lang w:val="uk-UA"/>
        </w:rPr>
        <w:t>Т. Albreht [et al.] // Health Systems in Transition. — 2002. — № 4 (3). — Р. 1 – 89.</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17.</w:t>
      </w:r>
      <w:r w:rsidRPr="00787A40">
        <w:rPr>
          <w:rFonts w:ascii="Times New Roman" w:eastAsia="Times New Roman" w:hAnsi="Times New Roman" w:cs="Times New Roman"/>
          <w:kern w:val="0"/>
          <w:sz w:val="28"/>
          <w:szCs w:val="28"/>
          <w:lang w:val="uk-UA"/>
        </w:rPr>
        <w:tab/>
        <w:t>Health Insurance Institute of Slovenia (2006) [</w:t>
      </w:r>
      <w:r w:rsidRPr="00787A40">
        <w:rPr>
          <w:rFonts w:ascii="Times New Roman CYR" w:eastAsia="Times New Roman" w:hAnsi="Times New Roman CYR" w:cs="Times New Roman CYR"/>
          <w:kern w:val="0"/>
          <w:sz w:val="28"/>
          <w:szCs w:val="28"/>
          <w:lang w:val="uk-UA"/>
        </w:rPr>
        <w:t xml:space="preserve">Електронний ресурс] / Health Insurance Institute of Slovenia, Ljubljana. – Режим доступу :  http://www.zzzs.si. – Заголовок з екрану. </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18.</w:t>
      </w:r>
      <w:r w:rsidRPr="00787A40">
        <w:rPr>
          <w:rFonts w:ascii="Times New Roman" w:eastAsia="Times New Roman" w:hAnsi="Times New Roman" w:cs="Times New Roman"/>
          <w:kern w:val="0"/>
          <w:sz w:val="28"/>
          <w:szCs w:val="28"/>
          <w:lang w:val="uk-UA"/>
        </w:rPr>
        <w:tab/>
        <w:t xml:space="preserve">Couffinhal A. Health system financing in Estonia / </w:t>
      </w:r>
      <w:r w:rsidRPr="00787A40">
        <w:rPr>
          <w:rFonts w:ascii="Times New Roman CYR" w:eastAsia="Times New Roman" w:hAnsi="Times New Roman CYR" w:cs="Times New Roman CYR"/>
          <w:kern w:val="0"/>
          <w:sz w:val="28"/>
          <w:szCs w:val="28"/>
          <w:lang w:val="uk-UA"/>
        </w:rPr>
        <w:t xml:space="preserve">А. Couffinhal, Т. Habicht. – WHO Regional Office for Europe. – Copenhagen, 2005. </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19.</w:t>
      </w:r>
      <w:r w:rsidRPr="00787A40">
        <w:rPr>
          <w:rFonts w:ascii="Times New Roman" w:eastAsia="Times New Roman" w:hAnsi="Times New Roman" w:cs="Times New Roman"/>
          <w:kern w:val="0"/>
          <w:sz w:val="28"/>
          <w:szCs w:val="28"/>
          <w:lang w:val="uk-UA"/>
        </w:rPr>
        <w:tab/>
        <w:t>Foubister T. Health care financing in ten central and eastern European countries [</w:t>
      </w:r>
      <w:r w:rsidRPr="00787A40">
        <w:rPr>
          <w:rFonts w:ascii="Times New Roman CYR" w:eastAsia="Times New Roman" w:hAnsi="Times New Roman CYR" w:cs="Times New Roman CYR"/>
          <w:kern w:val="0"/>
          <w:sz w:val="28"/>
          <w:szCs w:val="28"/>
          <w:lang w:val="uk-UA"/>
        </w:rPr>
        <w:t>Неопубликованные данные] / Т. Foubister, S. Thomson, Е. Mossialos. – 2004.</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20.</w:t>
      </w:r>
      <w:r w:rsidRPr="00787A40">
        <w:rPr>
          <w:rFonts w:ascii="Times New Roman" w:eastAsia="Times New Roman" w:hAnsi="Times New Roman" w:cs="Times New Roman"/>
          <w:kern w:val="0"/>
          <w:sz w:val="28"/>
          <w:szCs w:val="28"/>
          <w:lang w:val="uk-UA"/>
        </w:rPr>
        <w:tab/>
        <w:t xml:space="preserve">Health care systems in transition : Estonia / </w:t>
      </w:r>
      <w:r w:rsidRPr="00787A40">
        <w:rPr>
          <w:rFonts w:ascii="Times New Roman CYR" w:eastAsia="Times New Roman" w:hAnsi="Times New Roman CYR" w:cs="Times New Roman CYR"/>
          <w:kern w:val="0"/>
          <w:sz w:val="28"/>
          <w:szCs w:val="28"/>
          <w:lang w:val="uk-UA"/>
        </w:rPr>
        <w:t>М. Jesse [et al.] // (2004). Health Systems in Transition. — 2004. — № 6 (11). — Р. 1 – 142.</w:t>
      </w:r>
    </w:p>
    <w:p w:rsidR="00787A40" w:rsidRPr="00787A40" w:rsidRDefault="00787A40" w:rsidP="00787A40">
      <w:pPr>
        <w:widowControl/>
        <w:tabs>
          <w:tab w:val="clear" w:pos="709"/>
        </w:tabs>
        <w:autoSpaceDE w:val="0"/>
        <w:autoSpaceDN w:val="0"/>
        <w:adjustRightInd w:val="0"/>
        <w:spacing w:after="0" w:line="360" w:lineRule="auto"/>
        <w:ind w:firstLine="709"/>
        <w:rPr>
          <w:rFonts w:ascii="Times New Roman CYR" w:eastAsia="Times New Roman" w:hAnsi="Times New Roman CYR" w:cs="Times New Roman CYR"/>
          <w:kern w:val="0"/>
          <w:sz w:val="28"/>
          <w:szCs w:val="28"/>
          <w:lang w:val="uk-UA"/>
        </w:rPr>
      </w:pPr>
      <w:r w:rsidRPr="00787A40">
        <w:rPr>
          <w:rFonts w:ascii="Times New Roman" w:eastAsia="Times New Roman" w:hAnsi="Times New Roman" w:cs="Times New Roman"/>
          <w:kern w:val="0"/>
          <w:sz w:val="28"/>
          <w:szCs w:val="28"/>
          <w:lang w:val="uk-UA"/>
        </w:rPr>
        <w:t>21.</w:t>
      </w:r>
      <w:r w:rsidRPr="00787A40">
        <w:rPr>
          <w:rFonts w:ascii="Times New Roman" w:eastAsia="Times New Roman" w:hAnsi="Times New Roman" w:cs="Times New Roman"/>
          <w:kern w:val="0"/>
          <w:sz w:val="28"/>
          <w:szCs w:val="28"/>
          <w:lang w:val="uk-UA"/>
        </w:rPr>
        <w:tab/>
        <w:t xml:space="preserve">Les professions de santé, éléments d’information statistiques / S. Audric, </w:t>
      </w:r>
      <w:r w:rsidRPr="00787A40">
        <w:rPr>
          <w:rFonts w:ascii="Times New Roman CYR" w:eastAsia="Times New Roman" w:hAnsi="Times New Roman CYR" w:cs="Times New Roman CYR"/>
          <w:kern w:val="0"/>
          <w:sz w:val="28"/>
          <w:szCs w:val="28"/>
          <w:lang w:val="uk-UA"/>
        </w:rPr>
        <w:t>Х. Niel, D. Sicart, А. Vilain // Solidarit</w:t>
      </w:r>
      <w:r w:rsidRPr="00787A40">
        <w:rPr>
          <w:rFonts w:ascii="Times New Roman" w:eastAsia="Times New Roman" w:hAnsi="Times New Roman" w:cs="Times New Roman"/>
          <w:kern w:val="0"/>
          <w:sz w:val="28"/>
          <w:szCs w:val="28"/>
          <w:lang w:val="uk-UA"/>
        </w:rPr>
        <w:t xml:space="preserve">é et santé. – Paris : DREES, 2001. — № 1. — </w:t>
      </w:r>
      <w:r w:rsidRPr="00787A40">
        <w:rPr>
          <w:rFonts w:ascii="Times New Roman CYR" w:eastAsia="Times New Roman" w:hAnsi="Times New Roman CYR" w:cs="Times New Roman CYR"/>
          <w:kern w:val="0"/>
          <w:sz w:val="28"/>
          <w:szCs w:val="28"/>
          <w:lang w:val="uk-UA"/>
        </w:rPr>
        <w:t xml:space="preserve">Р. 115 –135. </w:t>
      </w:r>
    </w:p>
    <w:p w:rsidR="00787A40" w:rsidRPr="00B46888" w:rsidRDefault="00787A40" w:rsidP="00787A40">
      <w:pPr>
        <w:tabs>
          <w:tab w:val="clear" w:pos="709"/>
        </w:tabs>
        <w:suppressAutoHyphens w:val="0"/>
        <w:spacing w:after="0" w:line="235" w:lineRule="exact"/>
        <w:ind w:left="20" w:right="20" w:firstLine="300"/>
        <w:rPr>
          <w:lang w:val="uk-UA"/>
        </w:rPr>
      </w:pPr>
    </w:p>
    <w:sectPr w:rsidR="00787A40" w:rsidRPr="00B46888" w:rsidSect="00694317">
      <w:headerReference w:type="even" r:id="rId10"/>
      <w:footerReference w:type="even" r:id="rId11"/>
      <w:footnotePr>
        <w:numRestart w:val="eachPage"/>
      </w:footnotePr>
      <w:pgSz w:w="16838" w:h="23810"/>
      <w:pgMar w:top="1276" w:right="4288" w:bottom="5098" w:left="36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DC" w:rsidRDefault="00F507DC">
      <w:pPr>
        <w:spacing w:after="0" w:line="240" w:lineRule="auto"/>
      </w:pPr>
      <w:r>
        <w:separator/>
      </w:r>
    </w:p>
  </w:endnote>
  <w:endnote w:type="continuationSeparator" w:id="0">
    <w:p w:rsidR="00F507DC" w:rsidRDefault="00F5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C" w:rsidRDefault="00F507DC">
    <w:pPr>
      <w:rPr>
        <w:sz w:val="2"/>
        <w:szCs w:val="2"/>
      </w:rPr>
    </w:pPr>
    <w:r w:rsidRPr="007E0D2B">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507DC" w:rsidRDefault="00F507DC">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DC" w:rsidRDefault="00F507DC"/>
    <w:p w:rsidR="00F507DC" w:rsidRDefault="00F507DC"/>
    <w:p w:rsidR="00F507DC" w:rsidRDefault="00F507DC"/>
    <w:p w:rsidR="00F507DC" w:rsidRDefault="00F507DC"/>
    <w:p w:rsidR="00F507DC" w:rsidRDefault="00F507DC"/>
    <w:p w:rsidR="00F507DC" w:rsidRDefault="00F507DC"/>
    <w:p w:rsidR="00F507DC" w:rsidRDefault="00F507DC">
      <w:pPr>
        <w:rPr>
          <w:sz w:val="2"/>
          <w:szCs w:val="2"/>
        </w:rPr>
      </w:pPr>
      <w:r w:rsidRPr="007E0D2B">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507DC" w:rsidRDefault="00F507DC">
                  <w:pPr>
                    <w:spacing w:line="240" w:lineRule="auto"/>
                  </w:pPr>
                  <w:fldSimple w:instr=" PAGE \* MERGEFORMAT ">
                    <w:r w:rsidRPr="005F74AA">
                      <w:rPr>
                        <w:rStyle w:val="afffff9"/>
                        <w:b w:val="0"/>
                        <w:bCs w:val="0"/>
                        <w:noProof/>
                      </w:rPr>
                      <w:t>5</w:t>
                    </w:r>
                  </w:fldSimple>
                </w:p>
              </w:txbxContent>
            </v:textbox>
            <w10:wrap anchorx="page" anchory="page"/>
          </v:shape>
        </w:pict>
      </w:r>
    </w:p>
    <w:p w:rsidR="00F507DC" w:rsidRDefault="00F507DC"/>
    <w:p w:rsidR="00F507DC" w:rsidRDefault="00F507DC"/>
    <w:p w:rsidR="00F507DC" w:rsidRDefault="00F507DC">
      <w:pPr>
        <w:rPr>
          <w:sz w:val="2"/>
          <w:szCs w:val="2"/>
        </w:rPr>
      </w:pPr>
      <w:r w:rsidRPr="007E0D2B">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507DC" w:rsidRDefault="00F507DC"/>
              </w:txbxContent>
            </v:textbox>
            <w10:wrap anchorx="page" anchory="page"/>
          </v:shape>
        </w:pict>
      </w:r>
    </w:p>
    <w:p w:rsidR="00F507DC" w:rsidRDefault="00F507DC"/>
    <w:p w:rsidR="00F507DC" w:rsidRDefault="00F507DC">
      <w:pPr>
        <w:rPr>
          <w:sz w:val="2"/>
          <w:szCs w:val="2"/>
        </w:rPr>
      </w:pPr>
    </w:p>
    <w:p w:rsidR="00F507DC" w:rsidRDefault="00F507DC"/>
    <w:p w:rsidR="00F507DC" w:rsidRDefault="00F507DC">
      <w:pPr>
        <w:spacing w:after="0" w:line="240" w:lineRule="auto"/>
      </w:pPr>
    </w:p>
  </w:footnote>
  <w:footnote w:type="continuationSeparator" w:id="0">
    <w:p w:rsidR="00F507DC" w:rsidRDefault="00F50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C" w:rsidRDefault="00F507DC"/>
  <w:p w:rsidR="00F507DC" w:rsidRDefault="00F507D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948C3C4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492061"/>
    <w:multiLevelType w:val="multilevel"/>
    <w:tmpl w:val="A404DF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5CF107A"/>
    <w:multiLevelType w:val="multilevel"/>
    <w:tmpl w:val="A66892A2"/>
    <w:lvl w:ilvl="0">
      <w:start w:val="1"/>
      <w:numFmt w:val="decimal"/>
      <w:lvlText w:val="7.2.%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C03708"/>
    <w:multiLevelType w:val="multilevel"/>
    <w:tmpl w:val="E5521A16"/>
    <w:lvl w:ilvl="0">
      <w:start w:val="1"/>
      <w:numFmt w:val="decimal"/>
      <w:lvlText w:val="3.%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AE776AB"/>
    <w:multiLevelType w:val="multilevel"/>
    <w:tmpl w:val="8D58F7E6"/>
    <w:lvl w:ilvl="0">
      <w:start w:val="1"/>
      <w:numFmt w:val="decimal"/>
      <w:lvlText w:val="6.1.%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3">
    <w:nsid w:val="0B7111AD"/>
    <w:multiLevelType w:val="multilevel"/>
    <w:tmpl w:val="8392DC0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A93DA6"/>
    <w:multiLevelType w:val="multilevel"/>
    <w:tmpl w:val="982A28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28B129A"/>
    <w:multiLevelType w:val="multilevel"/>
    <w:tmpl w:val="BB04066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91">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81E5FDF"/>
    <w:multiLevelType w:val="multilevel"/>
    <w:tmpl w:val="5920B24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B0D099C"/>
    <w:multiLevelType w:val="multilevel"/>
    <w:tmpl w:val="CFDA7DC2"/>
    <w:lvl w:ilvl="0">
      <w:start w:val="1"/>
      <w:numFmt w:val="decimal"/>
      <w:lvlText w:val="1.%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C354211"/>
    <w:multiLevelType w:val="multilevel"/>
    <w:tmpl w:val="B31E2A8E"/>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0AE745D"/>
    <w:multiLevelType w:val="multilevel"/>
    <w:tmpl w:val="C1521A8A"/>
    <w:lvl w:ilvl="0">
      <w:start w:val="1"/>
      <w:numFmt w:val="decimal"/>
      <w:lvlText w:val="%1."/>
      <w:lvlJc w:val="left"/>
      <w:rPr>
        <w:rFonts w:ascii="Consolas" w:eastAsia="Consolas" w:hAnsi="Consolas" w:cs="Consolas"/>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6B4757"/>
    <w:multiLevelType w:val="multilevel"/>
    <w:tmpl w:val="206E7954"/>
    <w:lvl w:ilvl="0">
      <w:start w:val="1"/>
      <w:numFmt w:val="decimal"/>
      <w:lvlText w:val="4.1.%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D4D1639"/>
    <w:multiLevelType w:val="multilevel"/>
    <w:tmpl w:val="5CF8F96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D717420"/>
    <w:multiLevelType w:val="multilevel"/>
    <w:tmpl w:val="5D200CC0"/>
    <w:lvl w:ilvl="0">
      <w:start w:val="3"/>
      <w:numFmt w:val="decimal"/>
      <w:lvlText w:val="4.%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E8B3C01"/>
    <w:multiLevelType w:val="multilevel"/>
    <w:tmpl w:val="5E287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010BFE"/>
    <w:multiLevelType w:val="multilevel"/>
    <w:tmpl w:val="8618BDA0"/>
    <w:lvl w:ilvl="0">
      <w:start w:val="1"/>
      <w:numFmt w:val="bullet"/>
      <w:lvlText w:val="-"/>
      <w:lvlJc w:val="left"/>
      <w:rPr>
        <w:rFonts w:ascii="Consolas" w:eastAsia="Consolas" w:hAnsi="Consolas" w:cs="Consolas"/>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DB0E44"/>
    <w:multiLevelType w:val="hybridMultilevel"/>
    <w:tmpl w:val="F3F00254"/>
    <w:name w:val="WW8Num45"/>
    <w:lvl w:ilvl="0">
      <w:numFmt w:val="bullet"/>
      <w:lvlText w:val="-"/>
      <w:lvlJc w:val="left"/>
      <w:pPr>
        <w:ind w:left="1429" w:hanging="360"/>
      </w:pPr>
      <w:rPr>
        <w:rFonts w:ascii="Times New Roman" w:eastAsia="Times New Roman" w:hAnsi="Times New Roman" w:hint="default"/>
        <w:i/>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4">
    <w:nsid w:val="402F0F1E"/>
    <w:multiLevelType w:val="multilevel"/>
    <w:tmpl w:val="42CC2008"/>
    <w:lvl w:ilvl="0">
      <w:start w:val="1"/>
      <w:numFmt w:val="decimal"/>
      <w:lvlText w:val="6.%1."/>
      <w:lvlJc w:val="left"/>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0553DB0"/>
    <w:multiLevelType w:val="multilevel"/>
    <w:tmpl w:val="77021A9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7843D2"/>
    <w:multiLevelType w:val="multilevel"/>
    <w:tmpl w:val="1D5A7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7F377FA"/>
    <w:multiLevelType w:val="multilevel"/>
    <w:tmpl w:val="F1D047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9FB71F1"/>
    <w:multiLevelType w:val="multilevel"/>
    <w:tmpl w:val="02C467BA"/>
    <w:lvl w:ilvl="0">
      <w:start w:val="1"/>
      <w:numFmt w:val="decimal"/>
      <w:lvlText w:val="4.3.%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5C41DD"/>
    <w:multiLevelType w:val="multilevel"/>
    <w:tmpl w:val="E2080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8E3EC1"/>
    <w:multiLevelType w:val="multilevel"/>
    <w:tmpl w:val="66AAE9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F76C05"/>
    <w:multiLevelType w:val="multilevel"/>
    <w:tmpl w:val="A3D497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50EE0B"/>
    <w:multiLevelType w:val="multilevel"/>
    <w:tmpl w:val="5450EE0B"/>
    <w:name w:val="Нумерованный список 1"/>
    <w:lvl w:ilvl="0">
      <w:start w:val="1"/>
      <w:numFmt w:val="decimal"/>
      <w:lvlText w:val="%1."/>
      <w:lvlJc w:val="left"/>
      <w:rPr>
        <w:color w:val="000000"/>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3">
    <w:nsid w:val="599628AC"/>
    <w:multiLevelType w:val="multilevel"/>
    <w:tmpl w:val="2B3C069C"/>
    <w:lvl w:ilvl="0">
      <w:start w:val="1"/>
      <w:numFmt w:val="decimal"/>
      <w:lvlText w:val="6.2.%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F743187"/>
    <w:multiLevelType w:val="multilevel"/>
    <w:tmpl w:val="9DA2D868"/>
    <w:name w:val="WW8Num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1CC0D98"/>
    <w:multiLevelType w:val="multilevel"/>
    <w:tmpl w:val="5B0C44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B91494"/>
    <w:multiLevelType w:val="multilevel"/>
    <w:tmpl w:val="5F70D668"/>
    <w:lvl w:ilvl="0">
      <w:start w:val="1"/>
      <w:numFmt w:val="decimal"/>
      <w:lvlText w:val="7.%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B403465"/>
    <w:multiLevelType w:val="multilevel"/>
    <w:tmpl w:val="73A05BFE"/>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D5274B"/>
    <w:multiLevelType w:val="multilevel"/>
    <w:tmpl w:val="24FAFE14"/>
    <w:lvl w:ilvl="0">
      <w:start w:val="1"/>
      <w:numFmt w:val="decimal"/>
      <w:lvlText w:val="%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CD869F3"/>
    <w:multiLevelType w:val="multilevel"/>
    <w:tmpl w:val="BDC48D3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E783074"/>
    <w:multiLevelType w:val="multilevel"/>
    <w:tmpl w:val="F9CC9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0B94985"/>
    <w:multiLevelType w:val="multilevel"/>
    <w:tmpl w:val="7F7899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5B019E"/>
    <w:multiLevelType w:val="multilevel"/>
    <w:tmpl w:val="50844D2C"/>
    <w:lvl w:ilvl="0">
      <w:start w:val="4"/>
      <w:numFmt w:val="decimal"/>
      <w:lvlText w:val="%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6F49CD"/>
    <w:multiLevelType w:val="multilevel"/>
    <w:tmpl w:val="F1CA56EE"/>
    <w:lvl w:ilvl="0">
      <w:start w:val="1"/>
      <w:numFmt w:val="decimal"/>
      <w:lvlText w:val="4.3.3.%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2164FA"/>
    <w:multiLevelType w:val="multilevel"/>
    <w:tmpl w:val="0D8C14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67C5492"/>
    <w:multiLevelType w:val="multilevel"/>
    <w:tmpl w:val="794821EA"/>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7CF1E2C"/>
    <w:multiLevelType w:val="multilevel"/>
    <w:tmpl w:val="8F78988E"/>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A05312"/>
    <w:multiLevelType w:val="multilevel"/>
    <w:tmpl w:val="53DC94E8"/>
    <w:lvl w:ilvl="0">
      <w:start w:val="1"/>
      <w:numFmt w:val="decimal"/>
      <w:lvlText w:val="%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0145EC"/>
    <w:multiLevelType w:val="multilevel"/>
    <w:tmpl w:val="748E0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A6964A1"/>
    <w:multiLevelType w:val="multilevel"/>
    <w:tmpl w:val="6838C7FE"/>
    <w:lvl w:ilvl="0">
      <w:start w:val="1"/>
      <w:numFmt w:val="decimal"/>
      <w:lvlText w:val="%1."/>
      <w:lvlJc w:val="left"/>
      <w:rPr>
        <w:rFonts w:ascii="Consolas" w:eastAsia="Consolas" w:hAnsi="Consolas" w:cs="Consolas"/>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B164486"/>
    <w:multiLevelType w:val="multilevel"/>
    <w:tmpl w:val="1152D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DCD7DC1"/>
    <w:multiLevelType w:val="multilevel"/>
    <w:tmpl w:val="63CCE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9F4E9F"/>
    <w:multiLevelType w:val="multilevel"/>
    <w:tmpl w:val="E070A8E2"/>
    <w:lvl w:ilvl="0">
      <w:start w:val="1"/>
      <w:numFmt w:val="decimal"/>
      <w:lvlText w:val="4.%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D265E7"/>
    <w:multiLevelType w:val="multilevel"/>
    <w:tmpl w:val="5DBAFEE0"/>
    <w:lvl w:ilvl="0">
      <w:start w:val="1"/>
      <w:numFmt w:val="decimal"/>
      <w:lvlText w:val="4.2.%1."/>
      <w:lvlJc w:val="left"/>
      <w:rPr>
        <w:rFonts w:ascii="Consolas" w:eastAsia="Consolas" w:hAnsi="Consolas" w:cs="Consolas"/>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4"/>
  </w:num>
  <w:num w:numId="7">
    <w:abstractNumId w:val="80"/>
  </w:num>
  <w:num w:numId="8">
    <w:abstractNumId w:val="132"/>
  </w:num>
  <w:num w:numId="9">
    <w:abstractNumId w:val="98"/>
  </w:num>
  <w:num w:numId="10">
    <w:abstractNumId w:val="133"/>
  </w:num>
  <w:num w:numId="11">
    <w:abstractNumId w:val="100"/>
  </w:num>
  <w:num w:numId="12">
    <w:abstractNumId w:val="108"/>
  </w:num>
  <w:num w:numId="13">
    <w:abstractNumId w:val="123"/>
  </w:num>
  <w:num w:numId="14">
    <w:abstractNumId w:val="104"/>
  </w:num>
  <w:num w:numId="15">
    <w:abstractNumId w:val="81"/>
  </w:num>
  <w:num w:numId="16">
    <w:abstractNumId w:val="113"/>
  </w:num>
  <w:num w:numId="17">
    <w:abstractNumId w:val="116"/>
  </w:num>
  <w:num w:numId="18">
    <w:abstractNumId w:val="77"/>
  </w:num>
  <w:num w:numId="19">
    <w:abstractNumId w:val="127"/>
  </w:num>
  <w:num w:numId="20">
    <w:abstractNumId w:val="129"/>
  </w:num>
  <w:num w:numId="21">
    <w:abstractNumId w:val="122"/>
  </w:num>
  <w:num w:numId="22">
    <w:abstractNumId w:val="87"/>
  </w:num>
  <w:num w:numId="23">
    <w:abstractNumId w:val="118"/>
  </w:num>
  <w:num w:numId="24">
    <w:abstractNumId w:val="96"/>
  </w:num>
  <w:num w:numId="25">
    <w:abstractNumId w:val="102"/>
  </w:num>
  <w:num w:numId="26">
    <w:abstractNumId w:val="111"/>
  </w:num>
  <w:num w:numId="27">
    <w:abstractNumId w:val="124"/>
  </w:num>
  <w:num w:numId="28">
    <w:abstractNumId w:val="121"/>
  </w:num>
  <w:num w:numId="29">
    <w:abstractNumId w:val="115"/>
  </w:num>
  <w:num w:numId="30">
    <w:abstractNumId w:val="109"/>
  </w:num>
  <w:num w:numId="31">
    <w:abstractNumId w:val="101"/>
  </w:num>
  <w:num w:numId="32">
    <w:abstractNumId w:val="131"/>
  </w:num>
  <w:num w:numId="33">
    <w:abstractNumId w:val="75"/>
  </w:num>
  <w:num w:numId="34">
    <w:abstractNumId w:val="110"/>
  </w:num>
  <w:num w:numId="35">
    <w:abstractNumId w:val="99"/>
  </w:num>
  <w:num w:numId="36">
    <w:abstractNumId w:val="88"/>
  </w:num>
  <w:num w:numId="37">
    <w:abstractNumId w:val="119"/>
  </w:num>
  <w:num w:numId="38">
    <w:abstractNumId w:val="92"/>
  </w:num>
  <w:num w:numId="39">
    <w:abstractNumId w:val="105"/>
  </w:num>
  <w:num w:numId="40">
    <w:abstractNumId w:val="95"/>
  </w:num>
  <w:num w:numId="41">
    <w:abstractNumId w:val="117"/>
  </w:num>
  <w:num w:numId="42">
    <w:abstractNumId w:val="107"/>
  </w:num>
  <w:num w:numId="43">
    <w:abstractNumId w:val="83"/>
  </w:num>
  <w:num w:numId="44">
    <w:abstractNumId w:val="120"/>
  </w:num>
  <w:num w:numId="45">
    <w:abstractNumId w:val="128"/>
  </w:num>
  <w:num w:numId="46">
    <w:abstractNumId w:val="130"/>
  </w:num>
  <w:num w:numId="47">
    <w:abstractNumId w:val="106"/>
  </w:num>
  <w:num w:numId="48">
    <w:abstractNumId w:val="4"/>
    <w:lvlOverride w:ilvl="0">
      <w:lvl w:ilvl="0">
        <w:numFmt w:val="bullet"/>
        <w:lvlText w:val=""/>
        <w:legacy w:legacy="1" w:legacySpace="0" w:legacyIndent="360"/>
        <w:lvlJc w:val="left"/>
        <w:rPr>
          <w:rFonts w:ascii="Symbol" w:hAnsi="Symbol" w:hint="default"/>
        </w:rPr>
      </w:lvl>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43"/>
    <o:shapelayout v:ext="edit">
      <o:idmap v:ext="edit" data="593"/>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337"/>
    <w:rsid w:val="000216C4"/>
    <w:rsid w:val="000216FD"/>
    <w:rsid w:val="00021AD4"/>
    <w:rsid w:val="00021B64"/>
    <w:rsid w:val="00021CBD"/>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9E8"/>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3A"/>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5F5"/>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416"/>
    <w:rsid w:val="0027150E"/>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76"/>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5FDE"/>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16"/>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3AC"/>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5F4"/>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BB0"/>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57"/>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1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08"/>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1AD"/>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6E3E"/>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5ED1"/>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AD"/>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510"/>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E9F"/>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699"/>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A7"/>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39F"/>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17"/>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D2A"/>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49D"/>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7AC"/>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AC"/>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19C"/>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A40"/>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117"/>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EFC"/>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0F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D2B"/>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060"/>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6FD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2E6"/>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EA"/>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167"/>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70D"/>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CB5"/>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A3F"/>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7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618"/>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5"/>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040"/>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4BB"/>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0C1"/>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0FFF"/>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2CD"/>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E15"/>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B1E"/>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166"/>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88"/>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71E"/>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0F3"/>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06"/>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57"/>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56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02"/>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D08"/>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197"/>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586"/>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36"/>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0E2"/>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8D"/>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7DC"/>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B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5E2"/>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2CC"/>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8211;library.com.ua/index.phppagemagazine&amp;sh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206A-EC18-4971-BA80-7B15B0F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15</Pages>
  <Words>3440</Words>
  <Characters>19611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2020-05-12T12:36:00Z</dcterms:created>
  <dcterms:modified xsi:type="dcterms:W3CDTF">2020-05-14T11:19:00Z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