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18828" w14:textId="77777777" w:rsidR="00D1497D" w:rsidRDefault="00D1497D" w:rsidP="00D1497D">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учета расходов будущих периодов в условиях адаптации к международно-признанным стандартам экономических субъектов горнодобывающего комплекса</w:t>
      </w:r>
    </w:p>
    <w:p w14:paraId="5D98BB0B" w14:textId="77777777" w:rsidR="00D1497D" w:rsidRDefault="00D1497D" w:rsidP="00D1497D">
      <w:pPr>
        <w:rPr>
          <w:rFonts w:ascii="Verdana" w:hAnsi="Verdana"/>
          <w:color w:val="000000"/>
          <w:sz w:val="18"/>
          <w:szCs w:val="18"/>
          <w:shd w:val="clear" w:color="auto" w:fill="FFFFFF"/>
        </w:rPr>
      </w:pPr>
    </w:p>
    <w:p w14:paraId="474C7248" w14:textId="77777777" w:rsidR="00D1497D" w:rsidRDefault="00D1497D" w:rsidP="00D1497D">
      <w:pPr>
        <w:rPr>
          <w:rFonts w:ascii="Verdana" w:hAnsi="Verdana"/>
          <w:color w:val="000000"/>
          <w:sz w:val="18"/>
          <w:szCs w:val="18"/>
          <w:shd w:val="clear" w:color="auto" w:fill="FFFFFF"/>
        </w:rPr>
      </w:pPr>
    </w:p>
    <w:p w14:paraId="15CBED08" w14:textId="06614B77" w:rsidR="008A35A9" w:rsidRDefault="00D1497D" w:rsidP="00D1497D">
      <w:r>
        <w:rPr>
          <w:rStyle w:val="10"/>
          <w:rFonts w:ascii="Verdana" w:hAnsi="Verdana"/>
          <w:color w:val="000000"/>
          <w:sz w:val="15"/>
          <w:szCs w:val="15"/>
        </w:rPr>
        <w:t>тема диссертации и автореферата по ВАК 08.00.12, кандидат экономических наук Агеева, Елена Сергеевна</w:t>
      </w:r>
      <w:r>
        <w:rPr>
          <w:rFonts w:ascii="Verdana" w:hAnsi="Verdana"/>
          <w:color w:val="000000"/>
          <w:sz w:val="18"/>
          <w:szCs w:val="18"/>
        </w:rPr>
        <w:br/>
      </w:r>
      <w:r>
        <w:rPr>
          <w:rFonts w:ascii="Verdana" w:hAnsi="Verdana"/>
          <w:color w:val="000000"/>
          <w:sz w:val="18"/>
          <w:szCs w:val="18"/>
        </w:rPr>
        <w:br/>
      </w:r>
    </w:p>
    <w:p w14:paraId="1CF99889" w14:textId="77777777" w:rsidR="00D1497D" w:rsidRDefault="00D1497D" w:rsidP="00D1497D"/>
    <w:p w14:paraId="471DCD4D" w14:textId="77777777" w:rsidR="00CE2042" w:rsidRDefault="00CE2042" w:rsidP="00CE204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D59D099" w14:textId="77777777" w:rsidR="00CE2042" w:rsidRDefault="00CE2042" w:rsidP="00CE2042">
      <w:pPr>
        <w:spacing w:line="270" w:lineRule="atLeast"/>
        <w:rPr>
          <w:rFonts w:ascii="Verdana" w:hAnsi="Verdana"/>
          <w:color w:val="000000"/>
          <w:sz w:val="18"/>
          <w:szCs w:val="18"/>
        </w:rPr>
      </w:pPr>
      <w:r>
        <w:rPr>
          <w:rFonts w:ascii="Verdana" w:hAnsi="Verdana"/>
          <w:color w:val="000000"/>
          <w:sz w:val="18"/>
          <w:szCs w:val="18"/>
        </w:rPr>
        <w:t>2013</w:t>
      </w:r>
    </w:p>
    <w:p w14:paraId="59A45E50" w14:textId="77777777" w:rsidR="00CE2042" w:rsidRDefault="00CE2042" w:rsidP="00CE20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C31003" w14:textId="77777777" w:rsidR="00CE2042" w:rsidRDefault="00CE2042" w:rsidP="00CE2042">
      <w:pPr>
        <w:spacing w:line="270" w:lineRule="atLeast"/>
        <w:rPr>
          <w:rFonts w:ascii="Verdana" w:hAnsi="Verdana"/>
          <w:color w:val="000000"/>
          <w:sz w:val="18"/>
          <w:szCs w:val="18"/>
        </w:rPr>
      </w:pPr>
      <w:r>
        <w:rPr>
          <w:rFonts w:ascii="Verdana" w:hAnsi="Verdana"/>
          <w:color w:val="000000"/>
          <w:sz w:val="18"/>
          <w:szCs w:val="18"/>
        </w:rPr>
        <w:t>Агеева, Елена Сергеевна</w:t>
      </w:r>
    </w:p>
    <w:p w14:paraId="0349FA9E" w14:textId="77777777" w:rsidR="00CE2042" w:rsidRDefault="00CE2042" w:rsidP="00CE204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820235D" w14:textId="77777777" w:rsidR="00CE2042" w:rsidRDefault="00CE2042" w:rsidP="00CE204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3F987D3" w14:textId="77777777" w:rsidR="00CE2042" w:rsidRDefault="00CE2042" w:rsidP="00CE20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DC5662" w14:textId="77777777" w:rsidR="00CE2042" w:rsidRDefault="00CE2042" w:rsidP="00CE2042">
      <w:pPr>
        <w:spacing w:line="270" w:lineRule="atLeast"/>
        <w:rPr>
          <w:rFonts w:ascii="Verdana" w:hAnsi="Verdana"/>
          <w:color w:val="000000"/>
          <w:sz w:val="18"/>
          <w:szCs w:val="18"/>
        </w:rPr>
      </w:pPr>
      <w:r>
        <w:rPr>
          <w:rFonts w:ascii="Verdana" w:hAnsi="Verdana"/>
          <w:color w:val="000000"/>
          <w:sz w:val="18"/>
          <w:szCs w:val="18"/>
        </w:rPr>
        <w:t>Москва</w:t>
      </w:r>
    </w:p>
    <w:p w14:paraId="2DEAD84D" w14:textId="77777777" w:rsidR="00CE2042" w:rsidRDefault="00CE2042" w:rsidP="00CE204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578CEA0" w14:textId="77777777" w:rsidR="00CE2042" w:rsidRDefault="00CE2042" w:rsidP="00CE2042">
      <w:pPr>
        <w:spacing w:line="270" w:lineRule="atLeast"/>
        <w:rPr>
          <w:rFonts w:ascii="Verdana" w:hAnsi="Verdana"/>
          <w:color w:val="000000"/>
          <w:sz w:val="18"/>
          <w:szCs w:val="18"/>
        </w:rPr>
      </w:pPr>
      <w:r>
        <w:rPr>
          <w:rFonts w:ascii="Verdana" w:hAnsi="Verdana"/>
          <w:color w:val="000000"/>
          <w:sz w:val="18"/>
          <w:szCs w:val="18"/>
        </w:rPr>
        <w:t>08.00.12</w:t>
      </w:r>
    </w:p>
    <w:p w14:paraId="269BA2FF" w14:textId="77777777" w:rsidR="00CE2042" w:rsidRDefault="00CE2042" w:rsidP="00CE20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C8E66E" w14:textId="77777777" w:rsidR="00CE2042" w:rsidRDefault="00CE2042" w:rsidP="00CE204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3CE2FA" w14:textId="77777777" w:rsidR="00CE2042" w:rsidRDefault="00CE2042" w:rsidP="00CE204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BDC6292" w14:textId="77777777" w:rsidR="00CE2042" w:rsidRDefault="00CE2042" w:rsidP="00CE2042">
      <w:pPr>
        <w:spacing w:line="270" w:lineRule="atLeast"/>
        <w:rPr>
          <w:rFonts w:ascii="Verdana" w:hAnsi="Verdana"/>
          <w:color w:val="000000"/>
          <w:sz w:val="18"/>
          <w:szCs w:val="18"/>
        </w:rPr>
      </w:pPr>
      <w:r>
        <w:rPr>
          <w:rFonts w:ascii="Verdana" w:hAnsi="Verdana"/>
          <w:color w:val="000000"/>
          <w:sz w:val="18"/>
          <w:szCs w:val="18"/>
        </w:rPr>
        <w:t>185</w:t>
      </w:r>
    </w:p>
    <w:p w14:paraId="40BE3509" w14:textId="77777777" w:rsidR="00CE2042" w:rsidRDefault="00CE2042" w:rsidP="00CE20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Агеева, Елена Сергеевна</w:t>
      </w:r>
    </w:p>
    <w:p w14:paraId="5C05645F"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5E88300"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расходов будущих периодов 11</w:t>
      </w:r>
      <w:r>
        <w:rPr>
          <w:rStyle w:val="WW8Num2z0"/>
          <w:rFonts w:ascii="Verdana" w:hAnsi="Verdana"/>
          <w:color w:val="000000"/>
          <w:sz w:val="18"/>
          <w:szCs w:val="18"/>
        </w:rPr>
        <w:t> </w:t>
      </w:r>
      <w:r>
        <w:rPr>
          <w:rStyle w:val="WW8Num3z0"/>
          <w:rFonts w:ascii="Verdana" w:hAnsi="Verdana"/>
          <w:color w:val="4682B4"/>
          <w:sz w:val="18"/>
          <w:szCs w:val="18"/>
        </w:rPr>
        <w:t>экономических</w:t>
      </w:r>
      <w:r>
        <w:rPr>
          <w:rStyle w:val="WW8Num2z0"/>
          <w:rFonts w:ascii="Verdana" w:hAnsi="Verdana"/>
          <w:color w:val="000000"/>
          <w:sz w:val="18"/>
          <w:szCs w:val="18"/>
        </w:rPr>
        <w:t> </w:t>
      </w:r>
      <w:r>
        <w:rPr>
          <w:rFonts w:ascii="Verdana" w:hAnsi="Verdana"/>
          <w:color w:val="000000"/>
          <w:sz w:val="18"/>
          <w:szCs w:val="18"/>
        </w:rPr>
        <w:t>субъектов горнодобывающего комплекса</w:t>
      </w:r>
    </w:p>
    <w:p w14:paraId="53F685D1"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функции и принципы признания к учету 11</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будущих периодов</w:t>
      </w:r>
    </w:p>
    <w:p w14:paraId="33789591"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расходов</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периодов</w:t>
      </w:r>
    </w:p>
    <w:p w14:paraId="340EB212"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Признание расходов будущих</w:t>
      </w:r>
      <w:r>
        <w:rPr>
          <w:rStyle w:val="WW8Num2z0"/>
          <w:rFonts w:ascii="Verdana" w:hAnsi="Verdana"/>
          <w:color w:val="000000"/>
          <w:sz w:val="18"/>
          <w:szCs w:val="18"/>
        </w:rPr>
        <w:t> </w:t>
      </w:r>
      <w:r>
        <w:rPr>
          <w:rStyle w:val="WW8Num3z0"/>
          <w:rFonts w:ascii="Verdana" w:hAnsi="Verdana"/>
          <w:color w:val="4682B4"/>
          <w:sz w:val="18"/>
          <w:szCs w:val="18"/>
        </w:rPr>
        <w:t>периодов</w:t>
      </w:r>
      <w:r>
        <w:rPr>
          <w:rStyle w:val="WW8Num2z0"/>
          <w:rFonts w:ascii="Verdana" w:hAnsi="Verdana"/>
          <w:color w:val="000000"/>
          <w:sz w:val="18"/>
          <w:szCs w:val="18"/>
        </w:rPr>
        <w:t> </w:t>
      </w:r>
      <w:r>
        <w:rPr>
          <w:rFonts w:ascii="Verdana" w:hAnsi="Verdana"/>
          <w:color w:val="000000"/>
          <w:sz w:val="18"/>
          <w:szCs w:val="18"/>
        </w:rPr>
        <w:t>в МСФО</w:t>
      </w:r>
    </w:p>
    <w:p w14:paraId="32D22093"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Разработка методического аппарата учета расходов будущих 56 периодов экономических</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горнодобывающего комплекса</w:t>
      </w:r>
    </w:p>
    <w:p w14:paraId="42387E8B"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в бухгалтерском учете экономических 56 субъектов</w:t>
      </w:r>
      <w:r>
        <w:rPr>
          <w:rStyle w:val="WW8Num2z0"/>
          <w:rFonts w:ascii="Verdana" w:hAnsi="Verdana"/>
          <w:color w:val="000000"/>
          <w:sz w:val="18"/>
          <w:szCs w:val="18"/>
        </w:rPr>
        <w:t> </w:t>
      </w:r>
      <w:r>
        <w:rPr>
          <w:rStyle w:val="WW8Num3z0"/>
          <w:rFonts w:ascii="Verdana" w:hAnsi="Verdana"/>
          <w:color w:val="4682B4"/>
          <w:sz w:val="18"/>
          <w:szCs w:val="18"/>
        </w:rPr>
        <w:t>горнодобывающего</w:t>
      </w:r>
      <w:r>
        <w:rPr>
          <w:rStyle w:val="WW8Num2z0"/>
          <w:rFonts w:ascii="Verdana" w:hAnsi="Verdana"/>
          <w:color w:val="000000"/>
          <w:sz w:val="18"/>
          <w:szCs w:val="18"/>
        </w:rPr>
        <w:t> </w:t>
      </w:r>
      <w:r>
        <w:rPr>
          <w:rFonts w:ascii="Verdana" w:hAnsi="Verdana"/>
          <w:color w:val="000000"/>
          <w:sz w:val="18"/>
          <w:szCs w:val="18"/>
        </w:rPr>
        <w:t>комплекса затрат, признаваемых расходами будущих периодов</w:t>
      </w:r>
    </w:p>
    <w:p w14:paraId="0C5B7DDB"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Практика признания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экономических 74 субъектов горнодобывающего</w:t>
      </w:r>
      <w:r>
        <w:rPr>
          <w:rStyle w:val="WW8Num2z0"/>
          <w:rFonts w:ascii="Verdana" w:hAnsi="Verdana"/>
          <w:color w:val="000000"/>
          <w:sz w:val="18"/>
          <w:szCs w:val="18"/>
        </w:rPr>
        <w:t> </w:t>
      </w:r>
      <w:r>
        <w:rPr>
          <w:rStyle w:val="WW8Num3z0"/>
          <w:rFonts w:ascii="Verdana" w:hAnsi="Verdana"/>
          <w:color w:val="4682B4"/>
          <w:sz w:val="18"/>
          <w:szCs w:val="18"/>
        </w:rPr>
        <w:t>комплекса</w:t>
      </w:r>
      <w:r>
        <w:rPr>
          <w:rStyle w:val="WW8Num2z0"/>
          <w:rFonts w:ascii="Verdana" w:hAnsi="Verdana"/>
          <w:color w:val="000000"/>
          <w:sz w:val="18"/>
          <w:szCs w:val="18"/>
        </w:rPr>
        <w:t> </w:t>
      </w:r>
      <w:r>
        <w:rPr>
          <w:rFonts w:ascii="Verdana" w:hAnsi="Verdana"/>
          <w:color w:val="000000"/>
          <w:sz w:val="18"/>
          <w:szCs w:val="18"/>
        </w:rPr>
        <w:t>расходов будущих периодов в расходах</w:t>
      </w:r>
    </w:p>
    <w:p w14:paraId="2CF7E87E"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информации о затратах, учитываемых в 87 составе расходов будущих периодов,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экономических субъектов горнодобывающего комплекса</w:t>
      </w:r>
    </w:p>
    <w:p w14:paraId="3D9EEA83"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Формирование научно-методических рекомендаций по 97 совершенствованию учета </w:t>
      </w:r>
      <w:r>
        <w:rPr>
          <w:rFonts w:ascii="Verdana" w:hAnsi="Verdana"/>
          <w:color w:val="000000"/>
          <w:sz w:val="18"/>
          <w:szCs w:val="18"/>
        </w:rPr>
        <w:lastRenderedPageBreak/>
        <w:t>расходов будущих периодов экономических субъектов горнодобывающего комплекса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адаптации к международно-признанным стандартам</w:t>
      </w:r>
    </w:p>
    <w:p w14:paraId="14977B09"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Адаптация расходов будущих периодов экономических 97 субъектов горнодобывающего комплекса к требованиям международно-признанных стандартов</w:t>
      </w:r>
    </w:p>
    <w:p w14:paraId="1257BAC6"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внутреннего контроля расходов 110 будущих периодов в учетном процессе</w:t>
      </w:r>
    </w:p>
    <w:p w14:paraId="4AA501BD"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Возможности прогнозирования расходов будущих периодов с применением</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методов прогнозирования</w:t>
      </w:r>
    </w:p>
    <w:p w14:paraId="37409843" w14:textId="77777777" w:rsidR="00CE2042" w:rsidRDefault="00CE2042" w:rsidP="00CE20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учета расходов будущих периодов в условиях адаптации к международно-признанным стандартам экономических субъектов горнодобывающего комплекса"</w:t>
      </w:r>
    </w:p>
    <w:p w14:paraId="441E0BB2"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организациях горнодобывающего комплекса в условиях современной экономики и процесса перехода на международные стандарты бухгалтерского учета является важным фактором, обеспечивающим устойчивое положение предприятия на рынке и его успешное дальнейшее развитие. В стремлении максимально соответствовать международно-признанным стандартам финансового учета национальная система бухгалтерского учета РФ претерпевает значительные изменения, которые приводят к появлению неточностей и разночтений.</w:t>
      </w:r>
    </w:p>
    <w:p w14:paraId="4FB37ED5"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субъектов</w:t>
      </w:r>
      <w:r>
        <w:rPr>
          <w:rStyle w:val="WW8Num2z0"/>
          <w:rFonts w:ascii="Verdana" w:hAnsi="Verdana"/>
          <w:color w:val="000000"/>
          <w:sz w:val="18"/>
          <w:szCs w:val="18"/>
        </w:rPr>
        <w:t> </w:t>
      </w:r>
      <w:r>
        <w:rPr>
          <w:rStyle w:val="WW8Num3z0"/>
          <w:rFonts w:ascii="Verdana" w:hAnsi="Verdana"/>
          <w:color w:val="4682B4"/>
          <w:sz w:val="18"/>
          <w:szCs w:val="18"/>
        </w:rPr>
        <w:t>горнодобывающего</w:t>
      </w:r>
      <w:r>
        <w:rPr>
          <w:rStyle w:val="WW8Num2z0"/>
          <w:rFonts w:ascii="Verdana" w:hAnsi="Verdana"/>
          <w:color w:val="000000"/>
          <w:sz w:val="18"/>
          <w:szCs w:val="18"/>
        </w:rPr>
        <w:t> </w:t>
      </w:r>
      <w:r>
        <w:rPr>
          <w:rFonts w:ascii="Verdana" w:hAnsi="Verdana"/>
          <w:color w:val="000000"/>
          <w:sz w:val="18"/>
          <w:szCs w:val="18"/>
        </w:rPr>
        <w:t>комплекса особое значение принимает организация бухгалтерского учета расходов будущих периодов, как специфического вида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типичных для организаций данной отрасли. Национальный учет расходов будущих периодов требует особого внимания вследствие отсутствия единого унифицированного подхода к</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процессу данных активов, сложностей при составлении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требованиям международно-признанных стандартов финансового учета.</w:t>
      </w:r>
    </w:p>
    <w:p w14:paraId="3415A30C"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методического аппарата учета расходов будущих периодов, отсутствие положений и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данных активов для горнодобывающего комплекса обусловили выбор темы диссертационного исследования.</w:t>
      </w:r>
    </w:p>
    <w:p w14:paraId="3D1CCBE4"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расходов будущих периодов были отражены в трудах следующих авторов: A.A.</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xml:space="preserve">, А.Н. Белова, H.A. </w:t>
      </w:r>
      <w:proofErr w:type="spellStart"/>
      <w:r>
        <w:rPr>
          <w:rFonts w:ascii="Verdana" w:hAnsi="Verdana"/>
          <w:color w:val="000000"/>
          <w:sz w:val="18"/>
          <w:szCs w:val="18"/>
        </w:rPr>
        <w:t>Боноевой</w:t>
      </w:r>
      <w:proofErr w:type="spellEnd"/>
      <w:r>
        <w:rPr>
          <w:rFonts w:ascii="Verdana" w:hAnsi="Verdana"/>
          <w:color w:val="000000"/>
          <w:sz w:val="18"/>
          <w:szCs w:val="18"/>
        </w:rPr>
        <w:t>, И.Э.</w:t>
      </w:r>
      <w:r>
        <w:rPr>
          <w:rStyle w:val="WW8Num2z0"/>
          <w:rFonts w:ascii="Verdana" w:hAnsi="Verdana"/>
          <w:color w:val="000000"/>
          <w:sz w:val="18"/>
          <w:szCs w:val="18"/>
        </w:rPr>
        <w:t> </w:t>
      </w:r>
      <w:r>
        <w:rPr>
          <w:rStyle w:val="WW8Num3z0"/>
          <w:rFonts w:ascii="Verdana" w:hAnsi="Verdana"/>
          <w:color w:val="4682B4"/>
          <w:sz w:val="18"/>
          <w:szCs w:val="18"/>
        </w:rPr>
        <w:t>Гущиной</w:t>
      </w:r>
      <w:r>
        <w:rPr>
          <w:rFonts w:ascii="Verdana" w:hAnsi="Verdana"/>
          <w:color w:val="000000"/>
          <w:sz w:val="18"/>
          <w:szCs w:val="18"/>
        </w:rPr>
        <w:t>, Л.Г. Изотовой, Д.В. Кислова, Д.В.</w:t>
      </w:r>
      <w:r>
        <w:rPr>
          <w:rStyle w:val="WW8Num2z0"/>
          <w:rFonts w:ascii="Verdana" w:hAnsi="Verdana"/>
          <w:color w:val="000000"/>
          <w:sz w:val="18"/>
          <w:szCs w:val="18"/>
        </w:rPr>
        <w:t> </w:t>
      </w:r>
      <w:proofErr w:type="spellStart"/>
      <w:r>
        <w:rPr>
          <w:rStyle w:val="WW8Num3z0"/>
          <w:rFonts w:ascii="Verdana" w:hAnsi="Verdana"/>
          <w:color w:val="4682B4"/>
          <w:sz w:val="18"/>
          <w:szCs w:val="18"/>
        </w:rPr>
        <w:t>Луговского</w:t>
      </w:r>
      <w:proofErr w:type="spellEnd"/>
      <w:r>
        <w:rPr>
          <w:rFonts w:ascii="Verdana" w:hAnsi="Verdana"/>
          <w:color w:val="000000"/>
          <w:sz w:val="18"/>
          <w:szCs w:val="18"/>
        </w:rPr>
        <w:t>, И.И. Мареевой, В.Н. Сапрыкина, В.В.</w:t>
      </w:r>
      <w:r>
        <w:rPr>
          <w:rStyle w:val="WW8Num2z0"/>
          <w:rFonts w:ascii="Verdana" w:hAnsi="Verdana"/>
          <w:color w:val="000000"/>
          <w:sz w:val="18"/>
          <w:szCs w:val="18"/>
        </w:rPr>
        <w:t> </w:t>
      </w:r>
      <w:r>
        <w:rPr>
          <w:rStyle w:val="WW8Num3z0"/>
          <w:rFonts w:ascii="Verdana" w:hAnsi="Verdana"/>
          <w:color w:val="4682B4"/>
          <w:sz w:val="18"/>
          <w:szCs w:val="18"/>
        </w:rPr>
        <w:t>Семенихина</w:t>
      </w:r>
      <w:r>
        <w:rPr>
          <w:rFonts w:ascii="Verdana" w:hAnsi="Verdana"/>
          <w:color w:val="000000"/>
          <w:sz w:val="18"/>
          <w:szCs w:val="18"/>
        </w:rPr>
        <w:t>, Т.П. Соколовой, И.Р. Сухарева, И.В.</w:t>
      </w:r>
      <w:r>
        <w:rPr>
          <w:rStyle w:val="WW8Num2z0"/>
          <w:rFonts w:ascii="Verdana" w:hAnsi="Verdana"/>
          <w:color w:val="000000"/>
          <w:sz w:val="18"/>
          <w:szCs w:val="18"/>
        </w:rPr>
        <w:t> </w:t>
      </w:r>
      <w:proofErr w:type="spellStart"/>
      <w:r>
        <w:rPr>
          <w:rStyle w:val="WW8Num3z0"/>
          <w:rFonts w:ascii="Verdana" w:hAnsi="Verdana"/>
          <w:color w:val="4682B4"/>
          <w:sz w:val="18"/>
          <w:szCs w:val="18"/>
        </w:rPr>
        <w:t>Типикиной</w:t>
      </w:r>
      <w:proofErr w:type="spellEnd"/>
      <w:r>
        <w:rPr>
          <w:rFonts w:ascii="Verdana" w:hAnsi="Verdana"/>
          <w:color w:val="000000"/>
          <w:sz w:val="18"/>
          <w:szCs w:val="18"/>
        </w:rPr>
        <w:t>, Е.М. Филимоновой, В.Т. Чая и др.</w:t>
      </w:r>
    </w:p>
    <w:p w14:paraId="14C6BD14"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авторов, занимающихся вопросами сближения отражения расходов будущих периодов в соответствии с практикой международного учета можно выделить: Н.В.</w:t>
      </w:r>
      <w:r>
        <w:rPr>
          <w:rStyle w:val="WW8Num2z0"/>
          <w:rFonts w:ascii="Verdana" w:hAnsi="Verdana"/>
          <w:color w:val="000000"/>
          <w:sz w:val="18"/>
          <w:szCs w:val="18"/>
        </w:rPr>
        <w:t> </w:t>
      </w:r>
      <w:proofErr w:type="spellStart"/>
      <w:r>
        <w:rPr>
          <w:rStyle w:val="WW8Num3z0"/>
          <w:rFonts w:ascii="Verdana" w:hAnsi="Verdana"/>
          <w:color w:val="4682B4"/>
          <w:sz w:val="18"/>
          <w:szCs w:val="18"/>
        </w:rPr>
        <w:t>Генералову</w:t>
      </w:r>
      <w:proofErr w:type="spellEnd"/>
      <w:r>
        <w:rPr>
          <w:rFonts w:ascii="Verdana" w:hAnsi="Verdana"/>
          <w:color w:val="000000"/>
          <w:sz w:val="18"/>
          <w:szCs w:val="18"/>
        </w:rPr>
        <w:t xml:space="preserve">, Е.Г. </w:t>
      </w:r>
      <w:proofErr w:type="spellStart"/>
      <w:r>
        <w:rPr>
          <w:rFonts w:ascii="Verdana" w:hAnsi="Verdana"/>
          <w:color w:val="000000"/>
          <w:sz w:val="18"/>
          <w:szCs w:val="18"/>
        </w:rPr>
        <w:t>Гусаковскую</w:t>
      </w:r>
      <w:proofErr w:type="spellEnd"/>
      <w:r>
        <w:rPr>
          <w:rFonts w:ascii="Verdana" w:hAnsi="Verdana"/>
          <w:color w:val="000000"/>
          <w:sz w:val="18"/>
          <w:szCs w:val="18"/>
        </w:rPr>
        <w:t xml:space="preserve">, Т.Ю. </w:t>
      </w:r>
      <w:proofErr w:type="spellStart"/>
      <w:r>
        <w:rPr>
          <w:rFonts w:ascii="Verdana" w:hAnsi="Verdana"/>
          <w:color w:val="000000"/>
          <w:sz w:val="18"/>
          <w:szCs w:val="18"/>
        </w:rPr>
        <w:t>Дружиловскую</w:t>
      </w:r>
      <w:proofErr w:type="spellEnd"/>
      <w:r>
        <w:rPr>
          <w:rFonts w:ascii="Verdana" w:hAnsi="Verdana"/>
          <w:color w:val="000000"/>
          <w:sz w:val="18"/>
          <w:szCs w:val="18"/>
        </w:rPr>
        <w:t xml:space="preserve">, Э.А. </w:t>
      </w:r>
      <w:proofErr w:type="spellStart"/>
      <w:r>
        <w:rPr>
          <w:rFonts w:ascii="Verdana" w:hAnsi="Verdana"/>
          <w:color w:val="000000"/>
          <w:sz w:val="18"/>
          <w:szCs w:val="18"/>
        </w:rPr>
        <w:t>Канбекову</w:t>
      </w:r>
      <w:proofErr w:type="spellEnd"/>
      <w:r>
        <w:rPr>
          <w:rFonts w:ascii="Verdana" w:hAnsi="Verdana"/>
          <w:color w:val="000000"/>
          <w:sz w:val="18"/>
          <w:szCs w:val="18"/>
        </w:rPr>
        <w:t>, C.B.</w:t>
      </w:r>
      <w:r>
        <w:rPr>
          <w:rStyle w:val="WW8Num2z0"/>
          <w:rFonts w:ascii="Verdana" w:hAnsi="Verdana"/>
          <w:color w:val="000000"/>
          <w:sz w:val="18"/>
          <w:szCs w:val="18"/>
        </w:rPr>
        <w:t> </w:t>
      </w:r>
      <w:r>
        <w:rPr>
          <w:rStyle w:val="WW8Num3z0"/>
          <w:rFonts w:ascii="Verdana" w:hAnsi="Verdana"/>
          <w:color w:val="4682B4"/>
          <w:sz w:val="18"/>
          <w:szCs w:val="18"/>
        </w:rPr>
        <w:t>Манько</w:t>
      </w:r>
      <w:r>
        <w:rPr>
          <w:rFonts w:ascii="Verdana" w:hAnsi="Verdana"/>
          <w:color w:val="000000"/>
          <w:sz w:val="18"/>
          <w:szCs w:val="18"/>
        </w:rPr>
        <w:t xml:space="preserve">, Е.А. </w:t>
      </w:r>
      <w:proofErr w:type="spellStart"/>
      <w:r>
        <w:rPr>
          <w:rFonts w:ascii="Verdana" w:hAnsi="Verdana"/>
          <w:color w:val="000000"/>
          <w:sz w:val="18"/>
          <w:szCs w:val="18"/>
        </w:rPr>
        <w:t>Мизиковского</w:t>
      </w:r>
      <w:proofErr w:type="spellEnd"/>
      <w:r>
        <w:rPr>
          <w:rFonts w:ascii="Verdana" w:hAnsi="Verdana"/>
          <w:color w:val="000000"/>
          <w:sz w:val="18"/>
          <w:szCs w:val="18"/>
        </w:rPr>
        <w:t xml:space="preserve">, C.B. </w:t>
      </w:r>
      <w:proofErr w:type="spellStart"/>
      <w:r>
        <w:rPr>
          <w:rFonts w:ascii="Verdana" w:hAnsi="Verdana"/>
          <w:color w:val="000000"/>
          <w:sz w:val="18"/>
          <w:szCs w:val="18"/>
        </w:rPr>
        <w:t>Модерова</w:t>
      </w:r>
      <w:proofErr w:type="spellEnd"/>
      <w:r>
        <w:rPr>
          <w:rFonts w:ascii="Verdana" w:hAnsi="Verdana"/>
          <w:color w:val="000000"/>
          <w:sz w:val="18"/>
          <w:szCs w:val="18"/>
        </w:rPr>
        <w:t>,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xml:space="preserve">, M.JI. Пятова, </w:t>
      </w:r>
      <w:proofErr w:type="spellStart"/>
      <w:r>
        <w:rPr>
          <w:rFonts w:ascii="Verdana" w:hAnsi="Verdana"/>
          <w:color w:val="000000"/>
          <w:sz w:val="18"/>
          <w:szCs w:val="18"/>
        </w:rPr>
        <w:t>А.Д.Федорову</w:t>
      </w:r>
      <w:proofErr w:type="spellEnd"/>
      <w:r>
        <w:rPr>
          <w:rFonts w:ascii="Verdana" w:hAnsi="Verdana"/>
          <w:color w:val="000000"/>
          <w:sz w:val="18"/>
          <w:szCs w:val="18"/>
        </w:rPr>
        <w:t xml:space="preserve"> и др.</w:t>
      </w:r>
    </w:p>
    <w:p w14:paraId="2750542D"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Контролю в бухгалтерском учете посвящены работы следующих авторов: И.Г.</w:t>
      </w:r>
      <w:r>
        <w:rPr>
          <w:rStyle w:val="WW8Num2z0"/>
          <w:rFonts w:ascii="Verdana" w:hAnsi="Verdana"/>
          <w:color w:val="000000"/>
          <w:sz w:val="18"/>
          <w:szCs w:val="18"/>
        </w:rPr>
        <w:t> </w:t>
      </w:r>
      <w:r>
        <w:rPr>
          <w:rStyle w:val="WW8Num3z0"/>
          <w:rFonts w:ascii="Verdana" w:hAnsi="Verdana"/>
          <w:color w:val="4682B4"/>
          <w:sz w:val="18"/>
          <w:szCs w:val="18"/>
        </w:rPr>
        <w:t>Беспаловой</w:t>
      </w:r>
      <w:r>
        <w:rPr>
          <w:rFonts w:ascii="Verdana" w:hAnsi="Verdana"/>
          <w:color w:val="000000"/>
          <w:sz w:val="18"/>
          <w:szCs w:val="18"/>
        </w:rPr>
        <w:t>, A.A. Гусева, E.JI. Ивановой, А.Б.</w:t>
      </w:r>
      <w:r>
        <w:rPr>
          <w:rStyle w:val="WW8Num2z0"/>
          <w:rFonts w:ascii="Verdana" w:hAnsi="Verdana"/>
          <w:color w:val="000000"/>
          <w:sz w:val="18"/>
          <w:szCs w:val="18"/>
        </w:rPr>
        <w:t> </w:t>
      </w:r>
      <w:r>
        <w:rPr>
          <w:rStyle w:val="WW8Num3z0"/>
          <w:rFonts w:ascii="Verdana" w:hAnsi="Verdana"/>
          <w:color w:val="4682B4"/>
          <w:sz w:val="18"/>
          <w:szCs w:val="18"/>
        </w:rPr>
        <w:t>Малявко</w:t>
      </w:r>
      <w:r>
        <w:rPr>
          <w:rFonts w:ascii="Verdana" w:hAnsi="Verdana"/>
          <w:color w:val="000000"/>
          <w:sz w:val="18"/>
          <w:szCs w:val="18"/>
        </w:rPr>
        <w:t>, JI.H. Овсянникова, Т.Ю. Серебряковой, Д.Ю.</w:t>
      </w:r>
      <w:r>
        <w:rPr>
          <w:rStyle w:val="WW8Num2z0"/>
          <w:rFonts w:ascii="Verdana" w:hAnsi="Verdana"/>
          <w:color w:val="000000"/>
          <w:sz w:val="18"/>
          <w:szCs w:val="18"/>
        </w:rPr>
        <w:t> </w:t>
      </w:r>
      <w:r>
        <w:rPr>
          <w:rStyle w:val="WW8Num3z0"/>
          <w:rFonts w:ascii="Verdana" w:hAnsi="Verdana"/>
          <w:color w:val="4682B4"/>
          <w:sz w:val="18"/>
          <w:szCs w:val="18"/>
        </w:rPr>
        <w:t>Филипьева</w:t>
      </w:r>
      <w:r>
        <w:rPr>
          <w:rStyle w:val="WW8Num2z0"/>
          <w:rFonts w:ascii="Verdana" w:hAnsi="Verdana"/>
          <w:color w:val="000000"/>
          <w:sz w:val="18"/>
          <w:szCs w:val="18"/>
        </w:rPr>
        <w:t> </w:t>
      </w:r>
      <w:r>
        <w:rPr>
          <w:rFonts w:ascii="Verdana" w:hAnsi="Verdana"/>
          <w:color w:val="000000"/>
          <w:sz w:val="18"/>
          <w:szCs w:val="18"/>
        </w:rPr>
        <w:t>и др.</w:t>
      </w:r>
    </w:p>
    <w:p w14:paraId="4FBA06C2"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которые даны авторами, не содержат методического аппарата по бухгалтерскому учету расходов будущих периодов и не адаптированы к экономическим субъектам горнодобывающего комплекса. На основании вышеизложенного следует полагать, что выбранная тема диссертационного исследования является актуальной с теоретической и с практической точек зрения.</w:t>
      </w:r>
    </w:p>
    <w:p w14:paraId="2EA21419"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1.6 «Адаптация различных систем бухгалтерского учета, их соответствие международным стандартам», 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п.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1.9. «Трансформация национальной отчетности в соответствии с международными стандартами и стандартами других стран»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AE9D1D6"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 диссертационного исследования заключается в разработке научных положений и теоретико-методических рекомендаций по отражению в бухгалтерском учете и отчетности расходов будущих периодов, адаптации российского учета расходов будущих периодов международно-признанным стандартам, а также осуществлению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расходов будущих периодов и их прогнозирования.</w:t>
      </w:r>
    </w:p>
    <w:p w14:paraId="1723AE8D"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решены следующие задачи:</w:t>
      </w:r>
    </w:p>
    <w:p w14:paraId="4EEC065A"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принципы признания затрат расходами будущих периодов;</w:t>
      </w:r>
    </w:p>
    <w:p w14:paraId="4FBC8E33"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затрат, признаваемых расходами будущих периодов для экономических субъектов горнодобывающего комплекса;</w:t>
      </w:r>
    </w:p>
    <w:p w14:paraId="0FA81CC3"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идентифицированы расходы будущих периодов в международной практике бухгалтерского учета;</w:t>
      </w:r>
    </w:p>
    <w:p w14:paraId="3F641D56"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проанализировано ведение бухгалтерского учета расходов будущих периодов экономических субъектов горнодобывающего комплекса;</w:t>
      </w:r>
    </w:p>
    <w:p w14:paraId="7EC6446E"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методические рекомендации по совершенствованию бухгалтерского учета расходов будущих периодов на предприятиях горнодобывающего комплекса;</w:t>
      </w:r>
    </w:p>
    <w:p w14:paraId="173C2826"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 порядок отражения в бухгалтерской отчетности расходов будущих периодов экономических субъектов горнодобывающего комплекса;</w:t>
      </w:r>
    </w:p>
    <w:p w14:paraId="79DCFAC4"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адаптации расходов будущих периодов экономических субъектов горнодобывающего комплекса к требованиям международно-признанных стандартов;</w:t>
      </w:r>
    </w:p>
    <w:p w14:paraId="2D8D1D8D"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порядок внутреннего контроля расходов будущих периодов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w:t>
      </w:r>
    </w:p>
    <w:p w14:paraId="19B376E1"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модель прогнозирования расходов будущих периодов с помощью статистических методов (экспоненциальное и полиноминальное моделирование временных рядов, регрессионный анализ) как мероприятие системы внутреннего контроля.</w:t>
      </w:r>
    </w:p>
    <w:p w14:paraId="14E44240"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научно-практические подходы к бухгалтерскому учету расходов будущих периодов экономических субъектов горнодобывающего комплекса.</w:t>
      </w:r>
    </w:p>
    <w:p w14:paraId="13CE40AF"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горнодобывающие</w:t>
      </w:r>
      <w:r>
        <w:rPr>
          <w:rStyle w:val="WW8Num2z0"/>
          <w:rFonts w:ascii="Verdana" w:hAnsi="Verdana"/>
          <w:color w:val="000000"/>
          <w:sz w:val="18"/>
          <w:szCs w:val="18"/>
        </w:rPr>
        <w:t> </w:t>
      </w:r>
      <w:r>
        <w:rPr>
          <w:rFonts w:ascii="Verdana" w:hAnsi="Verdana"/>
          <w:color w:val="000000"/>
          <w:sz w:val="18"/>
          <w:szCs w:val="18"/>
        </w:rPr>
        <w:t>комбинаты Курской магнитной аномалии.</w:t>
      </w:r>
    </w:p>
    <w:p w14:paraId="6A942C39"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диссертационного исследования послужили нормативно-правовые акты Российской Федерации, теоретические положения, методологические принципы, результаты исследований отечественных и зарубежных авторов, посвященные проблемам бухгалтерского учета расходов будущих периодов в организациях различных сфер производственной деятельности.</w:t>
      </w:r>
    </w:p>
    <w:p w14:paraId="51717ED1"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использованы следующие методы: исторический, нормативный, монографический, экономико-статистический, экономико-математический, абстрактно-логический, двойная запись,</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и др.</w:t>
      </w:r>
    </w:p>
    <w:p w14:paraId="0A1AF84A"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законодательные и нормативные акты Российской Федерации, нормативно-правовые документы Правительства РФ, Министерства Финансов РФ, материалы периодических изданий, монографии,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данные синтетического и аналитического учета экономических субъектов горнодобывающего комплекса.</w:t>
      </w:r>
    </w:p>
    <w:p w14:paraId="47B3D2A0"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разработке теоретических подходов и научно-методических рекомендаций по ведению бухгалтерского учета и осуществлению внутреннего контроля расходов будущих периодов экономических субъектов горнодобывающего комплекса, с </w:t>
      </w:r>
      <w:proofErr w:type="spellStart"/>
      <w:r>
        <w:rPr>
          <w:rFonts w:ascii="Verdana" w:hAnsi="Verdana"/>
          <w:color w:val="000000"/>
          <w:sz w:val="18"/>
          <w:szCs w:val="18"/>
        </w:rPr>
        <w:t>целыо</w:t>
      </w:r>
      <w:proofErr w:type="spellEnd"/>
      <w:r>
        <w:rPr>
          <w:rFonts w:ascii="Verdana" w:hAnsi="Verdana"/>
          <w:color w:val="000000"/>
          <w:sz w:val="18"/>
          <w:szCs w:val="18"/>
        </w:rPr>
        <w:t xml:space="preserve"> получения объективной, достоверной и актуальной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обеспечивающих высокую конкурентоспособность и устойчивое функционирование на рынке.</w:t>
      </w:r>
    </w:p>
    <w:p w14:paraId="58A41040"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исследования, имеющие научную новизну:</w:t>
      </w:r>
    </w:p>
    <w:p w14:paraId="29105612"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предложена классификация расходов будущих периодов для экономических субъектов горнодобывающего комплекса с учетом уточненных принципов их отнесения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в целях адаптации к международно-признанным стандартам, благодаря чему достигается достоверность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объективность показателей финансового состояния организации, оптимизация учетного процесса;</w:t>
      </w:r>
    </w:p>
    <w:p w14:paraId="72C2BCD0"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 методический аппарат финансового учета расходов будущих периодов экономических субъектов горнодобывающего комплекса, который в отличие от традиционных подходов обеспечивает унификацию и стандартизацию учета затрат, признаваемых расходами будущих периодов;</w:t>
      </w:r>
    </w:p>
    <w:p w14:paraId="33D27452"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отражению информации о расходах будущих периодов в финансовой отчетности экономических субъектов горнодобывающего комплекса с учетом их дифференциации в целях недопущения искажения данных финансовой отчетности;</w:t>
      </w:r>
    </w:p>
    <w:p w14:paraId="2BC531E7"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научно-методические рекомендации по адаптации учета расходов будущих периодов экономических субъектов горнодобывающего комплекса к требованиям международно-признанных стандартов, обеспечивающие соответствие международных и национальных стандартов, единство учета, упрощение процесса трансформации национальной отчетности в международную;</w:t>
      </w:r>
    </w:p>
    <w:p w14:paraId="471822AA"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мероприятия внутреннего контроля расходов будущих периодов, включающие анализ возникновения данных затрат с применением</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методов прогнозирования и расчета параметров регрессии величин экономических показателей, в целях изучения влияния данных величин на результаты анализа финансового состояния предприятия и принятия управленческих решений.</w:t>
      </w:r>
    </w:p>
    <w:p w14:paraId="03F6B2FF"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систематизации и обоснованности методов бухгалтерского учета расходов будущих периодов экономических субъектов горнодобывающего комплекса, основанных на требованиях законодательства по бухгалтерскому учету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которые позволят осуществлять дальнейшее развитие теоретических основ и прикладных разработок в данной области.</w:t>
      </w:r>
    </w:p>
    <w:p w14:paraId="2A3D8EF2"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сформулированные автором научно-методические подходы и практические положения могут применяться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горнодобывающей отрасли в Российской Федерации в качестве рекомендаций по учету расходов будущих периодов.</w:t>
      </w:r>
    </w:p>
    <w:p w14:paraId="16A19722"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научно-практические рекомендации направлены на упрощение ведения бухгалтерского учета, усиление внутреннего контроля, достижение объективности, достоверности и информативности данных бухгалтерской отчетности, в целях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её инвестиционной привлекательности, принятия качественных и обоснованных управленческих решений.</w:t>
      </w:r>
    </w:p>
    <w:p w14:paraId="502FB630"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диссертационного исследования подтверждена их практическим применением. Методические рекомендации по ведению бухгалтерского учета расходов будущих периодов нашли практическое применение в деятельности крупной</w:t>
      </w:r>
      <w:r>
        <w:rPr>
          <w:rStyle w:val="WW8Num2z0"/>
          <w:rFonts w:ascii="Verdana" w:hAnsi="Verdana"/>
          <w:color w:val="000000"/>
          <w:sz w:val="18"/>
          <w:szCs w:val="18"/>
        </w:rPr>
        <w:t> </w:t>
      </w:r>
      <w:r>
        <w:rPr>
          <w:rStyle w:val="WW8Num3z0"/>
          <w:rFonts w:ascii="Verdana" w:hAnsi="Verdana"/>
          <w:color w:val="4682B4"/>
          <w:sz w:val="18"/>
          <w:szCs w:val="18"/>
        </w:rPr>
        <w:t>горнодобывающей</w:t>
      </w:r>
      <w:r>
        <w:rPr>
          <w:rStyle w:val="WW8Num2z0"/>
          <w:rFonts w:ascii="Verdana" w:hAnsi="Verdana"/>
          <w:color w:val="000000"/>
          <w:sz w:val="18"/>
          <w:szCs w:val="18"/>
        </w:rPr>
        <w:t> </w:t>
      </w:r>
      <w:r>
        <w:rPr>
          <w:rFonts w:ascii="Verdana" w:hAnsi="Verdana"/>
          <w:color w:val="000000"/>
          <w:sz w:val="18"/>
          <w:szCs w:val="18"/>
        </w:rPr>
        <w:t>организации ОАО «Лебединский горно-обогатительный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Представленные разработки могут применяться при преподавании в высших учебных заведениях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в системе обучения, аттестации и повышения квалификации специалистов по бухгалтерскому (финансовому) учету</w:t>
      </w:r>
    </w:p>
    <w:p w14:paraId="516D2A2D"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положения и практические выводы исследования докладывались автором на международных, всероссийских и региональных научно-практических конференциях (2007-2013 гг. г. Москва, г. Орел, г. Белгород, г. Губкин, г. Старый Оскол), определенные научно-методические рекомендации (классификация расходов будущих периодов, ведение бухгалтерского учета, отражение в отчетности, переквалификация затрат, мероприятия внутреннего контроля) приняты к внедрению СП «</w:t>
      </w:r>
      <w:proofErr w:type="spellStart"/>
      <w:r>
        <w:rPr>
          <w:rFonts w:ascii="Verdana" w:hAnsi="Verdana"/>
          <w:color w:val="000000"/>
          <w:sz w:val="18"/>
          <w:szCs w:val="18"/>
        </w:rPr>
        <w:t>Старооскольский</w:t>
      </w:r>
      <w:proofErr w:type="spellEnd"/>
      <w:r>
        <w:rPr>
          <w:rFonts w:ascii="Verdana" w:hAnsi="Verdana"/>
          <w:color w:val="000000"/>
          <w:sz w:val="18"/>
          <w:szCs w:val="18"/>
        </w:rPr>
        <w:t xml:space="preserve"> </w:t>
      </w:r>
      <w:r>
        <w:rPr>
          <w:rFonts w:ascii="Verdana" w:hAnsi="Verdana"/>
          <w:color w:val="000000"/>
          <w:sz w:val="18"/>
          <w:szCs w:val="18"/>
        </w:rPr>
        <w:lastRenderedPageBreak/>
        <w:t>ГОРПТУС</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ОАО ЦентрТелеком», ОАО «Лебединский горно-обогатительный комбинат».</w:t>
      </w:r>
    </w:p>
    <w:p w14:paraId="63F7D8E9"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диссертационного исследования опубликовано 20 печатных работ объемом 5,5 </w:t>
      </w:r>
      <w:proofErr w:type="spellStart"/>
      <w:r>
        <w:rPr>
          <w:rFonts w:ascii="Verdana" w:hAnsi="Verdana"/>
          <w:color w:val="000000"/>
          <w:sz w:val="18"/>
          <w:szCs w:val="18"/>
        </w:rPr>
        <w:t>п.л</w:t>
      </w:r>
      <w:proofErr w:type="spellEnd"/>
      <w:r>
        <w:rPr>
          <w:rFonts w:ascii="Verdana" w:hAnsi="Verdana"/>
          <w:color w:val="000000"/>
          <w:sz w:val="18"/>
          <w:szCs w:val="18"/>
        </w:rPr>
        <w:t xml:space="preserve">. (в </w:t>
      </w:r>
      <w:proofErr w:type="spellStart"/>
      <w:r>
        <w:rPr>
          <w:rFonts w:ascii="Verdana" w:hAnsi="Verdana"/>
          <w:color w:val="000000"/>
          <w:sz w:val="18"/>
          <w:szCs w:val="18"/>
        </w:rPr>
        <w:t>т.ч</w:t>
      </w:r>
      <w:proofErr w:type="spellEnd"/>
      <w:r>
        <w:rPr>
          <w:rFonts w:ascii="Verdana" w:hAnsi="Verdana"/>
          <w:color w:val="000000"/>
          <w:sz w:val="18"/>
          <w:szCs w:val="18"/>
        </w:rPr>
        <w:t xml:space="preserve">. 4,5 </w:t>
      </w:r>
      <w:proofErr w:type="spellStart"/>
      <w:r>
        <w:rPr>
          <w:rFonts w:ascii="Verdana" w:hAnsi="Verdana"/>
          <w:color w:val="000000"/>
          <w:sz w:val="18"/>
          <w:szCs w:val="18"/>
        </w:rPr>
        <w:t>п.л</w:t>
      </w:r>
      <w:proofErr w:type="spellEnd"/>
      <w:r>
        <w:rPr>
          <w:rFonts w:ascii="Verdana" w:hAnsi="Verdana"/>
          <w:color w:val="000000"/>
          <w:sz w:val="18"/>
          <w:szCs w:val="18"/>
        </w:rPr>
        <w:t>. авторских), из них 3 статьи в журналах, рекомендованных ВАК Министерства образования и наук России</w:t>
      </w:r>
    </w:p>
    <w:p w14:paraId="3649574F"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Диссертационная работа состоит из введения, трех глав, заключения и списка используемой литературы, содержащего 140 наименований. Объем диссертации - 152 стр. текста, 40 таблиц, 21 рисунок, 18 формул, 28 приложений.</w:t>
      </w:r>
    </w:p>
    <w:p w14:paraId="36A7446C" w14:textId="77777777" w:rsidR="00CE2042" w:rsidRDefault="00CE2042" w:rsidP="00CE20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Агеева, Елена Сергеевна</w:t>
      </w:r>
    </w:p>
    <w:p w14:paraId="49F8AB17"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3C8729C" w14:textId="77777777" w:rsidR="00CE2042" w:rsidRDefault="00CE2042" w:rsidP="00CE20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по итогам работы сделаем следующие выводы:</w:t>
      </w:r>
    </w:p>
    <w:p w14:paraId="1BE1C209"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условиях современной экономики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имеет важное значение, так как</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является системой, обеспечивающей формирование своевременной, качественной информации о финансово-хозяйственной деятельности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является основным источником информация для внутренних и внешних пользователей, что обуславливает необходимость достоверности и объективности ее данных. Различия в учете отдельных элементов бухгалтерского учета по российским и международным стандартам, приводят к трудностям и разночтениям в учете. Существенные различия существуют в учете затрат, относящихся к будущим</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 расходов будущих периодов. Для субъектов</w:t>
      </w:r>
      <w:r>
        <w:rPr>
          <w:rStyle w:val="WW8Num2z0"/>
          <w:rFonts w:ascii="Verdana" w:hAnsi="Verdana"/>
          <w:color w:val="000000"/>
          <w:sz w:val="18"/>
          <w:szCs w:val="18"/>
        </w:rPr>
        <w:t> </w:t>
      </w:r>
      <w:r>
        <w:rPr>
          <w:rStyle w:val="WW8Num3z0"/>
          <w:rFonts w:ascii="Verdana" w:hAnsi="Verdana"/>
          <w:color w:val="4682B4"/>
          <w:sz w:val="18"/>
          <w:szCs w:val="18"/>
        </w:rPr>
        <w:t>горнодобывающего</w:t>
      </w:r>
      <w:r>
        <w:rPr>
          <w:rStyle w:val="WW8Num2z0"/>
          <w:rFonts w:ascii="Verdana" w:hAnsi="Verdana"/>
          <w:color w:val="000000"/>
          <w:sz w:val="18"/>
          <w:szCs w:val="18"/>
        </w:rPr>
        <w:t> </w:t>
      </w:r>
      <w:r>
        <w:rPr>
          <w:rFonts w:ascii="Verdana" w:hAnsi="Verdana"/>
          <w:color w:val="000000"/>
          <w:sz w:val="18"/>
          <w:szCs w:val="18"/>
        </w:rPr>
        <w:t>комплекса организация бухгалтерского учета расходов будущих периодов принимает особое значение, вследствие широко спектра затрат, учтенных в составе данной категории. Отсутствие единого унифицированного подхода к учету данных затрат субъектов горнодобывающего комплекса, недостаточная разработанность методического аппарата учета расходов будущих периодов приводит к трудностям при идентификации затрат, их</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и признания, а также при трансформации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требованиями международно-признанных стандартов. Рекомендации, предложенные автором, стандартизируют и унифицируют</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расходов будущих периодов.</w:t>
      </w:r>
    </w:p>
    <w:p w14:paraId="3EDD944F"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Затраты, признаваемые расходами будущих периодов, являются</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Автором сформулированы принципы признания расходов будущих периодов к</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С учетом выделенных принципов автором разработан алгоритм отнесения расходов будущих периодов к активам, который обеспечивает точность признания затрат расходами будущих периодов и в отличие от существующих методик позволяет избежать ошибок при формировании показателей отчетности. Важность признания в качестве расходов будущих периодов затрат, удовлетворяемых критерием признания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обусловлена тем, что данные затраты отражаются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бухгалтерского баланса и положительно влияют на финансовое состояние предприятия. Одновременно ошибочное признание активами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расходов, ведет к росту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иллюзии эффективности деятельности организации. Применение разработанного алгоритма, позволяет сделать данные бухгалтерского отчетности достоверными и объективными.</w:t>
      </w:r>
    </w:p>
    <w:p w14:paraId="558F67A6"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установленной классификации расходов будущих периодов для субъектов горнодобывающего комплекса в РФ не предусмотрено. В составе расходов будущих периодов указанных организаций отражаются затраты, ссылки на которые находятся в различных профильных</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других нормативно-правовых актах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Автором была произведена классификация затрат, относящихся к расходам будущих периодов, для субъектов горнодобывающего комплекса, отвечающая требованиям национального законодательства, упрощающая признание затрат расходами будущих периодов субъектами горнодобывающего комплекса.</w:t>
      </w:r>
    </w:p>
    <w:p w14:paraId="79883A0C"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Состав расходов будущих периодов субъектов горнодобывающего комплекса является разнообразным и неоднородным по содержанию. Объектом диссертационного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горнодобывающие</w:t>
      </w:r>
      <w:r>
        <w:rPr>
          <w:rStyle w:val="WW8Num2z0"/>
          <w:rFonts w:ascii="Verdana" w:hAnsi="Verdana"/>
          <w:color w:val="000000"/>
          <w:sz w:val="18"/>
          <w:szCs w:val="18"/>
        </w:rPr>
        <w:t> </w:t>
      </w:r>
      <w:r>
        <w:rPr>
          <w:rFonts w:ascii="Verdana" w:hAnsi="Verdana"/>
          <w:color w:val="000000"/>
          <w:sz w:val="18"/>
          <w:szCs w:val="18"/>
        </w:rPr>
        <w:t>комбинаты Курской магнитной аномалии: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Лебединский ГОК</w:t>
      </w:r>
      <w:r>
        <w:rPr>
          <w:rFonts w:ascii="Verdana" w:hAnsi="Verdana"/>
          <w:color w:val="000000"/>
          <w:sz w:val="18"/>
          <w:szCs w:val="18"/>
        </w:rPr>
        <w:t>», ОАО «Михайловский</w:t>
      </w:r>
      <w:r>
        <w:rPr>
          <w:rStyle w:val="WW8Num2z0"/>
          <w:rFonts w:ascii="Verdana" w:hAnsi="Verdana"/>
          <w:color w:val="000000"/>
          <w:sz w:val="18"/>
          <w:szCs w:val="18"/>
        </w:rPr>
        <w:t> </w:t>
      </w:r>
      <w:r>
        <w:rPr>
          <w:rStyle w:val="WW8Num3z0"/>
          <w:rFonts w:ascii="Verdana" w:hAnsi="Verdana"/>
          <w:color w:val="4682B4"/>
          <w:sz w:val="18"/>
          <w:szCs w:val="18"/>
        </w:rPr>
        <w:t>ГОК</w:t>
      </w:r>
      <w:r>
        <w:rPr>
          <w:rFonts w:ascii="Verdana" w:hAnsi="Verdana"/>
          <w:color w:val="000000"/>
          <w:sz w:val="18"/>
          <w:szCs w:val="18"/>
        </w:rPr>
        <w:t>», ОАО «</w:t>
      </w:r>
      <w:r>
        <w:rPr>
          <w:rStyle w:val="WW8Num3z0"/>
          <w:rFonts w:ascii="Verdana" w:hAnsi="Verdana"/>
          <w:color w:val="4682B4"/>
          <w:sz w:val="18"/>
          <w:szCs w:val="18"/>
        </w:rPr>
        <w:t>Стойленский ГОК</w:t>
      </w:r>
      <w:r>
        <w:rPr>
          <w:rFonts w:ascii="Verdana" w:hAnsi="Verdana"/>
          <w:color w:val="000000"/>
          <w:sz w:val="18"/>
          <w:szCs w:val="18"/>
        </w:rPr>
        <w:t xml:space="preserve">». Автором произведен анализ состава затрат, признаваемых расходами будущих периодов, порядок капитализации и признания затрат при </w:t>
      </w:r>
      <w:r>
        <w:rPr>
          <w:rFonts w:ascii="Verdana" w:hAnsi="Verdana"/>
          <w:color w:val="000000"/>
          <w:sz w:val="18"/>
          <w:szCs w:val="18"/>
        </w:rPr>
        <w:lastRenderedPageBreak/>
        <w:t>наступлении соответствующих отчетным периодов. По результатам анализа автором рекомендован методический аппарат финансового учета расходов будущих периодов экономических субъектов горнодобывающего комплекса, который в отличие от традиционных подходов обеспечивает унификацию и стандартизацию учета затрат, признаваемых расходами будущих периодов.</w:t>
      </w:r>
    </w:p>
    <w:p w14:paraId="7A27CA07"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Вследствие исключения строки «</w:t>
      </w:r>
      <w:r>
        <w:rPr>
          <w:rStyle w:val="WW8Num3z0"/>
          <w:rFonts w:ascii="Verdana" w:hAnsi="Verdana"/>
          <w:color w:val="4682B4"/>
          <w:sz w:val="18"/>
          <w:szCs w:val="18"/>
        </w:rPr>
        <w:t>расходы будущих периодов</w:t>
      </w:r>
      <w:r>
        <w:rPr>
          <w:rFonts w:ascii="Verdana" w:hAnsi="Verdana"/>
          <w:color w:val="000000"/>
          <w:sz w:val="18"/>
          <w:szCs w:val="18"/>
        </w:rPr>
        <w:t>» из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(формы №1), автором разработаны рекомендации по формированию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субъектов горнодобывающего комплекса информации об указанных затратах, с учетом их дифференциации в целях недопущения искажения данных финансовой отчетности, обеспечения объективных и достоверных показателей финансовой отчетности, упрощающие порядок трансформации отчетности и составления ее по требованиям международно-признанных стандартов.</w:t>
      </w:r>
    </w:p>
    <w:p w14:paraId="637E6F7E"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Наличие разночтений бухгалтерского учета расходов будущих периодов по национальным и международно-признанным стандартам, приводит к необходимости адаптации учета расходов будущих периодов экономических субъектов горнодобывающего комплекса. Основываясь на принципах признания активов и расходов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xml:space="preserve">, автором предложены варианты переквалификации затрат и порядок их отражения </w:t>
      </w:r>
      <w:proofErr w:type="spellStart"/>
      <w:r>
        <w:rPr>
          <w:rFonts w:ascii="Verdana" w:hAnsi="Verdana"/>
          <w:color w:val="000000"/>
          <w:sz w:val="18"/>
          <w:szCs w:val="18"/>
        </w:rPr>
        <w:t>в</w:t>
      </w:r>
      <w:r>
        <w:rPr>
          <w:rStyle w:val="WW8Num3z0"/>
          <w:rFonts w:ascii="Verdana" w:hAnsi="Verdana"/>
          <w:color w:val="4682B4"/>
          <w:sz w:val="18"/>
          <w:szCs w:val="18"/>
        </w:rPr>
        <w:t>трансформационной</w:t>
      </w:r>
      <w:proofErr w:type="spellEnd"/>
      <w:r>
        <w:rPr>
          <w:rStyle w:val="WW8Num2z0"/>
          <w:rFonts w:ascii="Verdana" w:hAnsi="Verdana"/>
          <w:color w:val="000000"/>
          <w:sz w:val="18"/>
          <w:szCs w:val="18"/>
        </w:rPr>
        <w:t> </w:t>
      </w:r>
      <w:r>
        <w:rPr>
          <w:rFonts w:ascii="Verdana" w:hAnsi="Verdana"/>
          <w:color w:val="000000"/>
          <w:sz w:val="18"/>
          <w:szCs w:val="18"/>
        </w:rPr>
        <w:t>таблице, что обеспечивает единство учета и упрощение процесса трансформации национальной отчетности в международную.</w:t>
      </w:r>
    </w:p>
    <w:p w14:paraId="048825D8"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целях устранения терминологической неточности автором был разработан и обоснован порядок отражения затрат, признаваемых расходами будущих периодов, в Плане счетов. Затраты, признаваемые расходами будущих периодов, по сущности и назначение сходны с иными счетами раздела III «</w:t>
      </w:r>
      <w:r>
        <w:rPr>
          <w:rStyle w:val="WW8Num3z0"/>
          <w:rFonts w:ascii="Verdana" w:hAnsi="Verdana"/>
          <w:color w:val="4682B4"/>
          <w:sz w:val="18"/>
          <w:szCs w:val="18"/>
        </w:rPr>
        <w:t>Затраты на производство</w:t>
      </w:r>
      <w:r>
        <w:rPr>
          <w:rFonts w:ascii="Verdana" w:hAnsi="Verdana"/>
          <w:color w:val="000000"/>
          <w:sz w:val="18"/>
          <w:szCs w:val="18"/>
        </w:rPr>
        <w:t>» Плана счетов финансово-хозяйственной деятельности организаций. Вследствие чего, с учетом дифференциации расходов на</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и краткосрочные (в зависимости от срока признания) целесообразно учитывать данные расходы в составе счетов «</w:t>
      </w:r>
      <w:r>
        <w:rPr>
          <w:rStyle w:val="WW8Num3z0"/>
          <w:rFonts w:ascii="Verdana" w:hAnsi="Verdana"/>
          <w:color w:val="4682B4"/>
          <w:sz w:val="18"/>
          <w:szCs w:val="18"/>
        </w:rPr>
        <w:t>Долгосрочные затраты в составе РБП</w:t>
      </w:r>
      <w:r>
        <w:rPr>
          <w:rFonts w:ascii="Verdana" w:hAnsi="Verdana"/>
          <w:color w:val="000000"/>
          <w:sz w:val="18"/>
          <w:szCs w:val="18"/>
        </w:rPr>
        <w:t>» и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затраты в составе РБП» в разделе Плана счетов «</w:t>
      </w:r>
      <w:r>
        <w:rPr>
          <w:rStyle w:val="WW8Num3z0"/>
          <w:rFonts w:ascii="Verdana" w:hAnsi="Verdana"/>
          <w:color w:val="4682B4"/>
          <w:sz w:val="18"/>
          <w:szCs w:val="18"/>
        </w:rPr>
        <w:t>Затраты на производство</w:t>
      </w:r>
      <w:r>
        <w:rPr>
          <w:rFonts w:ascii="Verdana" w:hAnsi="Verdana"/>
          <w:color w:val="000000"/>
          <w:sz w:val="18"/>
          <w:szCs w:val="18"/>
        </w:rPr>
        <w:t>».</w:t>
      </w:r>
    </w:p>
    <w:p w14:paraId="7620869D"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переходный период особое значение приобретает контроль бухгалтерского учета, положения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устанавливают обязательным внутренний контроль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Мероприятия внутреннего контроля позволяет оперативно влиять на выявленные отклонения и искажения, принимать действенные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и меры. Внутренний контроль расходов бухгалтерского учета расходов будущих периодов необходим, вследствие специфики данных затрат (трансформация из</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в расходы), сложности при их идентификации, капитализации в составе активов и признания при наступлении соответствующих периодов. Автором предложены мероприятия внутреннего контроля расходов будущих периодов для субъектов горнодобывающего комплекса, обеспечивающие успешное функционирование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и ее последующее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Fonts w:ascii="Verdana" w:hAnsi="Verdana"/>
          <w:color w:val="000000"/>
          <w:sz w:val="18"/>
          <w:szCs w:val="18"/>
        </w:rPr>
        <w:t>, своевременное влияние на учетный процесс, принятие своевременных и качественных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8D9293F" w14:textId="77777777" w:rsidR="00CE2042" w:rsidRDefault="00CE2042" w:rsidP="00CE20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Одним из мероприятий внутреннего контроля является прогнозирование. Изучение</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величины затрат, признающихся расходами будущих периодов, позволит предвидеть возникновение данных активов в соответствующей величине и объективно оценивать финансовое состояние предприятия, включая или исключая данные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из порядка расчета анализируемых показателей. Автором была разработана модель</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расходов будущих периодов для субъектов горнодобывающего комплекса с применением</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методов прогнозирования и расчета параметров регрессии величин экономических показателей, которая является достоверной и адекватной и позволяет осуществлять прогноз с высокой степенью надежности.</w:t>
      </w:r>
    </w:p>
    <w:p w14:paraId="1E104B9A" w14:textId="77777777" w:rsidR="00CE2042" w:rsidRDefault="00CE2042" w:rsidP="00CE20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Агеева, Елена Сергеевна, 2013 год</w:t>
      </w:r>
    </w:p>
    <w:p w14:paraId="72311421"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(ГК РФ) Часть 2 от 26.01.1996г. №14-ФЗ (поел. ред. от 01.07.2013)</w:t>
      </w:r>
    </w:p>
    <w:p w14:paraId="5FDE373D"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Кодекс РФ об административных правонарушениях (</w:t>
      </w:r>
      <w:proofErr w:type="spellStart"/>
      <w:r>
        <w:rPr>
          <w:rFonts w:ascii="Verdana" w:hAnsi="Verdana"/>
          <w:color w:val="000000"/>
          <w:sz w:val="18"/>
          <w:szCs w:val="18"/>
        </w:rPr>
        <w:t>КоАЛ</w:t>
      </w:r>
      <w:proofErr w:type="spellEnd"/>
      <w:r>
        <w:rPr>
          <w:rFonts w:ascii="Verdana" w:hAnsi="Verdana"/>
          <w:color w:val="000000"/>
          <w:sz w:val="18"/>
          <w:szCs w:val="18"/>
        </w:rPr>
        <w:t xml:space="preserve"> РФ) от 30.12.2001 №195-ФЗ (поел. ред. от 19.05.2013)</w:t>
      </w:r>
    </w:p>
    <w:p w14:paraId="6AFA05BC"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(НК РФ) Часть 1 от 31.07.1998 №146-ФЗ (поел. ред. от 08.06.2013)</w:t>
      </w:r>
    </w:p>
    <w:p w14:paraId="14BAF0B0"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(НК РФ) Часть 2 от 05.08.2000 №117-ФЗ (поел. ред. от 08.05.2013)</w:t>
      </w:r>
    </w:p>
    <w:p w14:paraId="62B05F49"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 Трудовой Кодекс РФ №197-ФЗ от 30.12.2001 (с изм. и доп. от 07.06.2013№ 108-ФЗ)</w:t>
      </w:r>
    </w:p>
    <w:p w14:paraId="23445B13"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23.08.1996 г. №127-ФЗ «О науке и государственной научно-технической политике»</w:t>
      </w:r>
    </w:p>
    <w:p w14:paraId="10669C6E"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25.04.2002 г. №40-ФЗ «Об обязательном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гражданской ответственности владельцев транспортных средств» (поел. ред. от 07.05.2013 №104-ФЗ)</w:t>
      </w:r>
    </w:p>
    <w:p w14:paraId="4B8BE819"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06.12.2011 N 402-ФЗ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153F381"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27.07.2012 г.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(поел. ред. от 29.12.2012 №282-ФЗ)</w:t>
      </w:r>
    </w:p>
    <w:p w14:paraId="1CB16F56"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23.10.1993 года №1090 «</w:t>
      </w:r>
      <w:r>
        <w:rPr>
          <w:rStyle w:val="WW8Num3z0"/>
          <w:rFonts w:ascii="Verdana" w:hAnsi="Verdana"/>
          <w:color w:val="4682B4"/>
          <w:sz w:val="18"/>
          <w:szCs w:val="18"/>
        </w:rPr>
        <w:t>О правилах дорожного движения</w:t>
      </w:r>
      <w:r>
        <w:rPr>
          <w:rFonts w:ascii="Verdana" w:hAnsi="Verdana"/>
          <w:color w:val="000000"/>
          <w:sz w:val="18"/>
          <w:szCs w:val="18"/>
        </w:rPr>
        <w:t>» (поел. ред. от 23.07.2013)</w:t>
      </w:r>
    </w:p>
    <w:p w14:paraId="5E08F70E"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24.12.2010 №186н)</w:t>
      </w:r>
    </w:p>
    <w:p w14:paraId="18FAB280"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06.05.1999г. №32н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от 27.04.2012 №55н)</w:t>
      </w:r>
    </w:p>
    <w:p w14:paraId="649E86E1"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06.05.1999 №33н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27.04.2012 №55н)</w:t>
      </w:r>
    </w:p>
    <w:p w14:paraId="30A9504A"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06.07.1999г. №43 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08.11.2010 №142н)</w:t>
      </w:r>
    </w:p>
    <w:p w14:paraId="6A79E598"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31.10.2000 г. № 94н «Об утверждении Плана счетов бухгалтерского учета финансово-хозяйственной деятельности организаций и инструкции по его применении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08.11.2010г.)</w:t>
      </w:r>
    </w:p>
    <w:p w14:paraId="6169F9B1"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30.03.2001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24.12.2010 № 186н)</w:t>
      </w:r>
    </w:p>
    <w:p w14:paraId="399CF6B5"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09.06.2001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25.10.2010 №132н)</w:t>
      </w:r>
    </w:p>
    <w:p w14:paraId="55B15DD0"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19.11.2002г.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от 24.12.2010 №186н)</w:t>
      </w:r>
    </w:p>
    <w:p w14:paraId="1068C929"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19.11.2002 г. №115н «Об утверждении положения по бухгалтерскому учету «Учет расходов на научно-исследовательские, опытно-конструкторские и технологические работы» ПБУ 17/02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18.09.2006 N 116н)</w:t>
      </w:r>
    </w:p>
    <w:p w14:paraId="1EF9E025"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10.12.2002 №126н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27.04.2012 №55н)</w:t>
      </w:r>
    </w:p>
    <w:p w14:paraId="7318B265"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27.12.2007 №153н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24.12.2010г. №186н)</w:t>
      </w:r>
    </w:p>
    <w:p w14:paraId="1580CD6C"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06.10.2008г. №106н «Об утверждении положений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18.12.2012 №164н)</w:t>
      </w:r>
    </w:p>
    <w:p w14:paraId="09555E1D"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06.10.2008 №107н «Об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27.04.2012 №55н)</w:t>
      </w:r>
    </w:p>
    <w:p w14:paraId="2B0822A7"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24.10.2008г. №116н «Об утверждении положения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27.04.2012 №55н)</w:t>
      </w:r>
    </w:p>
    <w:p w14:paraId="72262945"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02.07.2010г.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от 04.02.2012 №154н)</w:t>
      </w:r>
    </w:p>
    <w:p w14:paraId="3D0A3CA5"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 Приказ Минфина РФ от 13.12.2010 №167н «Об утверждении положения по бухгалтерскому учету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(ПБУ 8/2010) (</w:t>
      </w:r>
      <w:proofErr w:type="gramStart"/>
      <w:r>
        <w:rPr>
          <w:rFonts w:ascii="Verdana" w:hAnsi="Verdana"/>
          <w:color w:val="000000"/>
          <w:sz w:val="18"/>
          <w:szCs w:val="18"/>
        </w:rPr>
        <w:t>в поел</w:t>
      </w:r>
      <w:proofErr w:type="gramEnd"/>
      <w:r>
        <w:rPr>
          <w:rFonts w:ascii="Verdana" w:hAnsi="Verdana"/>
          <w:color w:val="000000"/>
          <w:sz w:val="18"/>
          <w:szCs w:val="18"/>
        </w:rPr>
        <w:t>. ред. Приказа Минфина РФ от 27.04.2012 №55н)</w:t>
      </w:r>
    </w:p>
    <w:p w14:paraId="4CC55417"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24.12.2010г. №186н «О внесении изменений в нормативные акты по бухгалтерскому учету и признании утратившим силу Приказа Министерства финансов РФ от 15.01.1997г. №3»</w:t>
      </w:r>
    </w:p>
    <w:p w14:paraId="4937E181"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от 05.10.2011г. №124н «О внесении изменений в формы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утвержденные Приказом Минфина РФ от 02.06.2010 г. №66н</w:t>
      </w:r>
    </w:p>
    <w:p w14:paraId="7FD2E1F5"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06.10.2011 №125н «Об утверждении положения по бухгалтерскому учету «</w:t>
      </w:r>
      <w:r>
        <w:rPr>
          <w:rStyle w:val="WW8Num3z0"/>
          <w:rFonts w:ascii="Verdana" w:hAnsi="Verdana"/>
          <w:color w:val="4682B4"/>
          <w:sz w:val="18"/>
          <w:szCs w:val="18"/>
        </w:rPr>
        <w:t>Учет затрат на освоение природных ресурсов</w:t>
      </w:r>
      <w:r>
        <w:rPr>
          <w:rFonts w:ascii="Verdana" w:hAnsi="Verdana"/>
          <w:color w:val="000000"/>
          <w:sz w:val="18"/>
          <w:szCs w:val="18"/>
        </w:rPr>
        <w:t>» (ПБУ 24/2011)»</w:t>
      </w:r>
    </w:p>
    <w:p w14:paraId="58337AE0"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Приказ Минфина РФ от 25.11.2011г. №160н </w:t>
      </w:r>
      <w:proofErr w:type="gramStart"/>
      <w:r>
        <w:rPr>
          <w:rFonts w:ascii="Verdana" w:hAnsi="Verdana"/>
          <w:color w:val="000000"/>
          <w:sz w:val="18"/>
          <w:szCs w:val="18"/>
        </w:rPr>
        <w:t>« О</w:t>
      </w:r>
      <w:proofErr w:type="gramEnd"/>
      <w:r>
        <w:rPr>
          <w:rFonts w:ascii="Verdana" w:hAnsi="Verdana"/>
          <w:color w:val="000000"/>
          <w:sz w:val="18"/>
          <w:szCs w:val="18"/>
        </w:rPr>
        <w:t xml:space="preserve"> введении в действие международных стандартов финансовой отчетности и разъяснений международных стандартов финансовой отчетности на территории РФ»</w:t>
      </w:r>
    </w:p>
    <w:p w14:paraId="49FDBB6A"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от 30.11.2011г. №440 План Минфина РФ на 20122015 годы по развитию бухгалтерского учета и отчетности в РФ на основе Международных стандартов финансовой отчетности.</w:t>
      </w:r>
    </w:p>
    <w:p w14:paraId="260BBBC2" w14:textId="77777777" w:rsidR="00CE2042" w:rsidRDefault="00CE2042" w:rsidP="00CE20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России от 18.07.2012 N 106н "О введении в действие и прекращении действия документов Международных стандартов финансовой отчетности на территории РФ"</w:t>
      </w:r>
    </w:p>
    <w:p w14:paraId="2E5D7EA3" w14:textId="3D2260CF" w:rsidR="00D1497D" w:rsidRPr="00D1497D" w:rsidRDefault="00CE2042" w:rsidP="00CE2042">
      <w:r>
        <w:rPr>
          <w:rFonts w:ascii="Verdana" w:hAnsi="Verdana"/>
          <w:color w:val="000000"/>
          <w:sz w:val="18"/>
          <w:szCs w:val="18"/>
        </w:rPr>
        <w:br/>
      </w:r>
      <w:r>
        <w:rPr>
          <w:rFonts w:ascii="Verdana" w:hAnsi="Verdana"/>
          <w:color w:val="000000"/>
          <w:sz w:val="18"/>
          <w:szCs w:val="18"/>
        </w:rPr>
        <w:br/>
      </w:r>
      <w:bookmarkStart w:id="0" w:name="_GoBack"/>
      <w:bookmarkEnd w:id="0"/>
    </w:p>
    <w:sectPr w:rsidR="00D1497D" w:rsidRPr="00D149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6804" w14:textId="77777777" w:rsidR="003E593C" w:rsidRDefault="003E593C">
      <w:pPr>
        <w:spacing w:after="0" w:line="240" w:lineRule="auto"/>
      </w:pPr>
      <w:r>
        <w:separator/>
      </w:r>
    </w:p>
  </w:endnote>
  <w:endnote w:type="continuationSeparator" w:id="0">
    <w:p w14:paraId="285559A7" w14:textId="77777777" w:rsidR="003E593C" w:rsidRDefault="003E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6C231" w14:textId="77777777" w:rsidR="003E593C" w:rsidRDefault="003E593C">
      <w:pPr>
        <w:spacing w:after="0" w:line="240" w:lineRule="auto"/>
      </w:pPr>
      <w:r>
        <w:separator/>
      </w:r>
    </w:p>
  </w:footnote>
  <w:footnote w:type="continuationSeparator" w:id="0">
    <w:p w14:paraId="6C29B5E9" w14:textId="77777777" w:rsidR="003E593C" w:rsidRDefault="003E5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593C"/>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4577</TotalTime>
  <Pages>8</Pages>
  <Words>3867</Words>
  <Characters>22048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171</cp:revision>
  <cp:lastPrinted>2009-02-06T05:36:00Z</cp:lastPrinted>
  <dcterms:created xsi:type="dcterms:W3CDTF">2016-05-04T14:28:00Z</dcterms:created>
  <dcterms:modified xsi:type="dcterms:W3CDTF">2016-06-21T11:21:00Z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