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02E" w:rsidRDefault="001C702E" w:rsidP="001C702E">
      <w:pPr>
        <w:pStyle w:val="afffffff5"/>
      </w:pPr>
      <w:r>
        <w:rPr>
          <w:color w:val="FF0000"/>
        </w:rPr>
        <w:t xml:space="preserve">Для заказа доставки данной работы воспользуйтесь поиском на сайте по ссылке:  </w:t>
      </w:r>
      <w:hyperlink r:id="rId9" w:history="1">
        <w:r>
          <w:rPr>
            <w:rStyle w:val="ae"/>
            <w:color w:val="0070C0"/>
          </w:rPr>
          <w:t>http://www.mydisser.com/search.html</w:t>
        </w:r>
      </w:hyperlink>
    </w:p>
    <w:p w:rsidR="001C702E" w:rsidRDefault="001C702E" w:rsidP="001C702E">
      <w:pPr>
        <w:spacing w:line="336" w:lineRule="auto"/>
        <w:jc w:val="both"/>
      </w:pPr>
    </w:p>
    <w:p w:rsidR="004A36EF" w:rsidRDefault="004A36EF" w:rsidP="004A36EF">
      <w:pPr>
        <w:spacing w:line="360" w:lineRule="auto"/>
        <w:ind w:left="284"/>
        <w:jc w:val="center"/>
        <w:rPr>
          <w:b/>
          <w:sz w:val="28"/>
          <w:lang w:val="uk-UA"/>
        </w:rPr>
      </w:pPr>
      <w:r>
        <w:rPr>
          <w:b/>
          <w:sz w:val="28"/>
          <w:lang w:val="uk-UA"/>
        </w:rPr>
        <w:t>МІНІСТЕРСТВО ОХОРОНИ ЗДОРОВ</w:t>
      </w:r>
      <w:r>
        <w:rPr>
          <w:b/>
          <w:sz w:val="28"/>
        </w:rPr>
        <w:t>`</w:t>
      </w:r>
      <w:r>
        <w:rPr>
          <w:b/>
          <w:sz w:val="28"/>
          <w:lang w:val="uk-UA"/>
        </w:rPr>
        <w:t>Я</w:t>
      </w:r>
      <w:r>
        <w:rPr>
          <w:b/>
          <w:sz w:val="28"/>
        </w:rPr>
        <w:t xml:space="preserve"> </w:t>
      </w:r>
      <w:r>
        <w:rPr>
          <w:b/>
          <w:sz w:val="28"/>
          <w:lang w:val="uk-UA"/>
        </w:rPr>
        <w:t>УКРАЇНИ</w:t>
      </w:r>
    </w:p>
    <w:p w:rsidR="004A36EF" w:rsidRDefault="004A36EF" w:rsidP="004A36EF">
      <w:pPr>
        <w:pStyle w:val="20"/>
      </w:pPr>
      <w:r>
        <w:t>НАЦІОНАЛЬНИЙ ФАРМАЦЕВТИЧНИЙ УНІВЕРСИТЕТ</w:t>
      </w: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r>
        <w:rPr>
          <w:b/>
          <w:sz w:val="36"/>
          <w:lang w:val="uk-UA"/>
        </w:rPr>
        <w:t>Гудзенко Олександр Павлович</w:t>
      </w:r>
    </w:p>
    <w:p w:rsidR="004A36EF" w:rsidRDefault="004A36EF" w:rsidP="004A36EF">
      <w:pPr>
        <w:spacing w:line="360" w:lineRule="auto"/>
        <w:ind w:left="284"/>
        <w:jc w:val="center"/>
        <w:rPr>
          <w:b/>
          <w:sz w:val="36"/>
          <w:lang w:val="uk-UA"/>
        </w:rPr>
      </w:pPr>
    </w:p>
    <w:p w:rsidR="004A36EF" w:rsidRDefault="004A36EF" w:rsidP="004A36EF">
      <w:pPr>
        <w:spacing w:line="360" w:lineRule="auto"/>
        <w:ind w:left="6720"/>
        <w:rPr>
          <w:lang w:val="uk-UA"/>
        </w:rPr>
      </w:pPr>
      <w:r>
        <w:rPr>
          <w:lang w:val="uk-UA"/>
        </w:rPr>
        <w:t>УДК</w:t>
      </w:r>
      <w:r>
        <w:t xml:space="preserve"> 615.12:001</w:t>
      </w: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p>
    <w:p w:rsidR="004A36EF" w:rsidRDefault="004A36EF" w:rsidP="004A36EF">
      <w:pPr>
        <w:pStyle w:val="24"/>
      </w:pPr>
      <w:r>
        <w:t>НАУКОВІ ОСНОВИ УДОСКОНАЛЕННЯ ЛІКАРСЬКОГО ЗАБЕЗПЕЧЕННЯ ПІЛЬГОВИХ КАТЕГОРІЙ НАСЕЛЕ</w:t>
      </w:r>
      <w:r>
        <w:t>Н</w:t>
      </w:r>
      <w:r>
        <w:t>НЯ ПРОМИСЛОВИХ РЕГІОНІВ</w:t>
      </w:r>
    </w:p>
    <w:p w:rsidR="004A36EF" w:rsidRDefault="004A36EF" w:rsidP="004A36EF">
      <w:pPr>
        <w:spacing w:line="360" w:lineRule="auto"/>
        <w:ind w:left="284"/>
        <w:jc w:val="center"/>
        <w:rPr>
          <w:b/>
          <w:sz w:val="36"/>
          <w:lang w:val="uk-UA"/>
        </w:rPr>
      </w:pPr>
    </w:p>
    <w:p w:rsidR="004A36EF" w:rsidRDefault="004A36EF" w:rsidP="004A36EF">
      <w:pPr>
        <w:pStyle w:val="afffffffffffffffffffc"/>
      </w:pPr>
      <w:r>
        <w:t>Спеціальність 15.00.01 - технологія ліків та організація фармацевтичної справи</w:t>
      </w: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p>
    <w:p w:rsidR="004A36EF" w:rsidRDefault="004A36EF" w:rsidP="004A36EF">
      <w:pPr>
        <w:spacing w:line="360" w:lineRule="auto"/>
        <w:ind w:left="2040" w:right="1925"/>
        <w:jc w:val="center"/>
        <w:rPr>
          <w:b/>
          <w:sz w:val="28"/>
          <w:lang w:val="uk-UA"/>
        </w:rPr>
      </w:pPr>
      <w:r>
        <w:rPr>
          <w:b/>
          <w:sz w:val="28"/>
          <w:lang w:val="uk-UA"/>
        </w:rPr>
        <w:t>АВТОРЕФЕРАТ</w:t>
      </w:r>
    </w:p>
    <w:p w:rsidR="004A36EF" w:rsidRDefault="004A36EF" w:rsidP="004A36EF">
      <w:pPr>
        <w:spacing w:line="360" w:lineRule="auto"/>
        <w:ind w:left="2040" w:right="1925"/>
        <w:jc w:val="center"/>
        <w:rPr>
          <w:b/>
          <w:sz w:val="28"/>
          <w:lang w:val="uk-UA"/>
        </w:rPr>
      </w:pPr>
      <w:r>
        <w:rPr>
          <w:b/>
          <w:sz w:val="28"/>
          <w:lang w:val="uk-UA"/>
        </w:rPr>
        <w:t>дисертації на здобуття наукового ступеня доктора фармацевти</w:t>
      </w:r>
      <w:r>
        <w:rPr>
          <w:b/>
          <w:sz w:val="28"/>
          <w:lang w:val="uk-UA"/>
        </w:rPr>
        <w:t>ч</w:t>
      </w:r>
      <w:r>
        <w:rPr>
          <w:b/>
          <w:sz w:val="28"/>
          <w:lang w:val="uk-UA"/>
        </w:rPr>
        <w:t>них наук</w:t>
      </w: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p>
    <w:p w:rsidR="004A36EF" w:rsidRDefault="004A36EF" w:rsidP="004A36EF">
      <w:pPr>
        <w:spacing w:line="360" w:lineRule="auto"/>
        <w:ind w:left="284"/>
        <w:jc w:val="center"/>
        <w:rPr>
          <w:b/>
          <w:sz w:val="36"/>
          <w:lang w:val="uk-UA"/>
        </w:rPr>
      </w:pPr>
    </w:p>
    <w:p w:rsidR="004A36EF" w:rsidRDefault="004A36EF" w:rsidP="004A36EF">
      <w:pPr>
        <w:pStyle w:val="1"/>
      </w:pPr>
      <w:r>
        <w:t>Харків - 2004</w:t>
      </w:r>
    </w:p>
    <w:p w:rsidR="004A36EF" w:rsidRDefault="004A36EF" w:rsidP="004A36EF">
      <w:pPr>
        <w:spacing w:line="360" w:lineRule="auto"/>
        <w:jc w:val="right"/>
        <w:rPr>
          <w:u w:val="single"/>
          <w:lang w:val="uk-UA"/>
        </w:rPr>
      </w:pPr>
      <w:r>
        <w:rPr>
          <w:b/>
          <w:sz w:val="36"/>
          <w:lang w:val="uk-UA"/>
        </w:rPr>
        <w:br w:type="page"/>
      </w:r>
    </w:p>
    <w:p w:rsidR="004A36EF" w:rsidRDefault="004A36EF" w:rsidP="004A36EF">
      <w:pPr>
        <w:spacing w:line="360" w:lineRule="auto"/>
        <w:rPr>
          <w:lang w:val="uk-UA"/>
        </w:rPr>
      </w:pPr>
      <w:r>
        <w:rPr>
          <w:lang w:val="uk-UA"/>
        </w:rPr>
        <w:lastRenderedPageBreak/>
        <w:t>Дисертацією є рукопис.</w:t>
      </w:r>
    </w:p>
    <w:p w:rsidR="004A36EF" w:rsidRDefault="004A36EF" w:rsidP="004A36EF">
      <w:pPr>
        <w:spacing w:line="360" w:lineRule="auto"/>
        <w:jc w:val="both"/>
        <w:rPr>
          <w:lang w:val="uk-UA"/>
        </w:rPr>
      </w:pPr>
      <w:r>
        <w:rPr>
          <w:lang w:val="uk-UA"/>
        </w:rPr>
        <w:t>Робота виконана на кафедрі управління та економіки фармації Інституту підвищення кваліфікації спеціалістів фармації і кафедрі аптечної технології ліків Національного фармацевтичного університету, Міністерство охорони здоров'я України.</w:t>
      </w:r>
    </w:p>
    <w:p w:rsidR="004A36EF" w:rsidRDefault="004A36EF" w:rsidP="004A36EF">
      <w:pPr>
        <w:spacing w:line="360" w:lineRule="auto"/>
        <w:jc w:val="both"/>
        <w:rPr>
          <w:u w:val="single"/>
          <w:lang w:val="uk-UA"/>
        </w:rPr>
      </w:pPr>
    </w:p>
    <w:p w:rsidR="004A36EF" w:rsidRDefault="004A36EF" w:rsidP="004A36EF">
      <w:pPr>
        <w:spacing w:line="360" w:lineRule="auto"/>
        <w:jc w:val="both"/>
        <w:rPr>
          <w:lang w:val="uk-UA"/>
        </w:rPr>
      </w:pPr>
      <w:r>
        <w:rPr>
          <w:u w:val="single"/>
          <w:lang w:val="uk-UA"/>
        </w:rPr>
        <w:t>Офіційні опоненти:</w:t>
      </w:r>
      <w:r>
        <w:rPr>
          <w:lang w:val="uk-UA"/>
        </w:rPr>
        <w:tab/>
      </w:r>
      <w:r>
        <w:rPr>
          <w:lang w:val="uk-UA"/>
        </w:rPr>
        <w:tab/>
        <w:t xml:space="preserve">доктор фармацевтичних наук, професор  </w:t>
      </w:r>
    </w:p>
    <w:p w:rsidR="004A36EF" w:rsidRDefault="004A36EF" w:rsidP="004A36EF">
      <w:pPr>
        <w:spacing w:line="360" w:lineRule="auto"/>
        <w:ind w:left="2880"/>
        <w:jc w:val="both"/>
        <w:rPr>
          <w:lang w:val="uk-UA"/>
        </w:rPr>
      </w:pPr>
      <w:r>
        <w:rPr>
          <w:lang w:val="uk-UA"/>
        </w:rPr>
        <w:t>Дмитрієвський Дмитро Іванович</w:t>
      </w:r>
    </w:p>
    <w:p w:rsidR="004A36EF" w:rsidRDefault="004A36EF" w:rsidP="004A36EF">
      <w:pPr>
        <w:spacing w:line="360" w:lineRule="auto"/>
        <w:ind w:left="2880"/>
        <w:jc w:val="both"/>
        <w:rPr>
          <w:lang w:val="uk-UA"/>
        </w:rPr>
      </w:pPr>
      <w:r>
        <w:rPr>
          <w:lang w:val="uk-UA"/>
        </w:rPr>
        <w:t>Національний фармацевтичний університет,</w:t>
      </w:r>
    </w:p>
    <w:p w:rsidR="004A36EF" w:rsidRDefault="004A36EF" w:rsidP="004A36EF">
      <w:pPr>
        <w:spacing w:line="360" w:lineRule="auto"/>
        <w:ind w:left="2880"/>
        <w:jc w:val="both"/>
        <w:rPr>
          <w:lang w:val="uk-UA"/>
        </w:rPr>
      </w:pPr>
      <w:r>
        <w:rPr>
          <w:lang w:val="uk-UA"/>
        </w:rPr>
        <w:t>завідувач кафедри організації та економіки фармації</w:t>
      </w:r>
    </w:p>
    <w:p w:rsidR="004A36EF" w:rsidRDefault="004A36EF" w:rsidP="004A36EF">
      <w:pPr>
        <w:ind w:left="2880"/>
        <w:jc w:val="both"/>
        <w:rPr>
          <w:lang w:val="uk-UA"/>
        </w:rPr>
      </w:pPr>
    </w:p>
    <w:p w:rsidR="004A36EF" w:rsidRDefault="004A36EF" w:rsidP="004A36EF">
      <w:pPr>
        <w:spacing w:line="360" w:lineRule="auto"/>
        <w:ind w:left="2880"/>
        <w:jc w:val="both"/>
        <w:rPr>
          <w:lang w:val="uk-UA"/>
        </w:rPr>
      </w:pPr>
      <w:r>
        <w:rPr>
          <w:lang w:val="uk-UA"/>
        </w:rPr>
        <w:t xml:space="preserve">доктор фармацевтичних наук, професор  </w:t>
      </w:r>
    </w:p>
    <w:p w:rsidR="004A36EF" w:rsidRDefault="004A36EF" w:rsidP="004A36EF">
      <w:pPr>
        <w:spacing w:line="360" w:lineRule="auto"/>
        <w:ind w:left="2880"/>
        <w:jc w:val="both"/>
        <w:rPr>
          <w:lang w:val="uk-UA"/>
        </w:rPr>
      </w:pPr>
      <w:r>
        <w:rPr>
          <w:lang w:val="uk-UA"/>
        </w:rPr>
        <w:t>Волох Дмитро Степанович</w:t>
      </w:r>
    </w:p>
    <w:p w:rsidR="004A36EF" w:rsidRDefault="004A36EF" w:rsidP="004A36EF">
      <w:pPr>
        <w:spacing w:line="360" w:lineRule="auto"/>
        <w:ind w:left="2880"/>
        <w:jc w:val="both"/>
        <w:rPr>
          <w:lang w:val="uk-UA"/>
        </w:rPr>
      </w:pPr>
      <w:r>
        <w:rPr>
          <w:lang w:val="uk-UA"/>
        </w:rPr>
        <w:t xml:space="preserve">Національний медичний університет ім. О.О.Богомольця, </w:t>
      </w:r>
    </w:p>
    <w:p w:rsidR="004A36EF" w:rsidRDefault="004A36EF" w:rsidP="004A36EF">
      <w:pPr>
        <w:spacing w:line="360" w:lineRule="auto"/>
        <w:ind w:left="2880"/>
        <w:jc w:val="both"/>
        <w:rPr>
          <w:lang w:val="uk-UA"/>
        </w:rPr>
      </w:pPr>
      <w:r>
        <w:rPr>
          <w:lang w:val="uk-UA"/>
        </w:rPr>
        <w:t>завідувач кафедри організації та економіки фармації</w:t>
      </w:r>
    </w:p>
    <w:p w:rsidR="004A36EF" w:rsidRDefault="004A36EF" w:rsidP="004A36EF">
      <w:pPr>
        <w:ind w:firstLine="2835"/>
        <w:jc w:val="both"/>
        <w:rPr>
          <w:lang w:val="uk-UA"/>
        </w:rPr>
      </w:pPr>
    </w:p>
    <w:p w:rsidR="004A36EF" w:rsidRDefault="004A36EF" w:rsidP="004A36EF">
      <w:pPr>
        <w:spacing w:line="360" w:lineRule="auto"/>
        <w:ind w:firstLine="2835"/>
        <w:jc w:val="both"/>
        <w:rPr>
          <w:lang w:val="uk-UA"/>
        </w:rPr>
      </w:pPr>
      <w:r>
        <w:rPr>
          <w:lang w:val="uk-UA"/>
        </w:rPr>
        <w:t xml:space="preserve">доктор фармацевтичних наук, професор </w:t>
      </w:r>
    </w:p>
    <w:p w:rsidR="004A36EF" w:rsidRDefault="004A36EF" w:rsidP="004A36EF">
      <w:pPr>
        <w:spacing w:line="360" w:lineRule="auto"/>
        <w:ind w:left="2760" w:firstLine="75"/>
        <w:jc w:val="both"/>
        <w:rPr>
          <w:lang w:val="uk-UA"/>
        </w:rPr>
      </w:pPr>
      <w:r>
        <w:rPr>
          <w:lang w:val="uk-UA"/>
        </w:rPr>
        <w:t>Грошовий Тарас Андрійович,</w:t>
      </w:r>
    </w:p>
    <w:p w:rsidR="004A36EF" w:rsidRDefault="004A36EF" w:rsidP="004A36EF">
      <w:pPr>
        <w:spacing w:line="360" w:lineRule="auto"/>
        <w:ind w:left="2760" w:firstLine="75"/>
        <w:jc w:val="both"/>
        <w:rPr>
          <w:lang w:val="uk-UA"/>
        </w:rPr>
      </w:pPr>
      <w:r>
        <w:rPr>
          <w:lang w:val="uk-UA"/>
        </w:rPr>
        <w:t>Тернопільська державна медична академія ім. І.Я.Горбачевського,</w:t>
      </w:r>
    </w:p>
    <w:p w:rsidR="004A36EF" w:rsidRDefault="004A36EF" w:rsidP="004A36EF">
      <w:pPr>
        <w:spacing w:line="360" w:lineRule="auto"/>
        <w:ind w:left="2760" w:firstLine="75"/>
        <w:jc w:val="both"/>
        <w:rPr>
          <w:lang w:val="uk-UA"/>
        </w:rPr>
      </w:pPr>
      <w:r>
        <w:rPr>
          <w:lang w:val="uk-UA"/>
        </w:rPr>
        <w:t>завідувач кафедри фармацевтичних дисциплін</w:t>
      </w:r>
    </w:p>
    <w:p w:rsidR="004A36EF" w:rsidRDefault="004A36EF" w:rsidP="004A36EF">
      <w:pPr>
        <w:jc w:val="both"/>
        <w:rPr>
          <w:lang w:val="uk-UA"/>
        </w:rPr>
      </w:pPr>
    </w:p>
    <w:p w:rsidR="004A36EF" w:rsidRDefault="004A36EF" w:rsidP="004A36EF">
      <w:pPr>
        <w:spacing w:line="360" w:lineRule="auto"/>
        <w:ind w:left="2760" w:hanging="2760"/>
        <w:jc w:val="both"/>
        <w:rPr>
          <w:lang w:val="uk-UA"/>
        </w:rPr>
      </w:pPr>
      <w:r>
        <w:rPr>
          <w:u w:val="single"/>
          <w:lang w:val="uk-UA"/>
        </w:rPr>
        <w:t>Провідна установа:</w:t>
      </w:r>
      <w:r>
        <w:rPr>
          <w:b/>
          <w:lang w:val="uk-UA"/>
        </w:rPr>
        <w:tab/>
      </w:r>
      <w:r>
        <w:rPr>
          <w:lang w:val="uk-UA"/>
        </w:rPr>
        <w:t>Львівський національний медичний університет ім. Данила Галицького, кафедра організації та економіки фармації з курсом технології ліків (м. Львів)</w:t>
      </w:r>
    </w:p>
    <w:p w:rsidR="004A36EF" w:rsidRDefault="004A36EF" w:rsidP="004A36EF">
      <w:pPr>
        <w:spacing w:line="360" w:lineRule="auto"/>
        <w:jc w:val="both"/>
        <w:rPr>
          <w:lang w:val="uk-UA"/>
        </w:rPr>
      </w:pPr>
    </w:p>
    <w:p w:rsidR="004A36EF" w:rsidRDefault="004A36EF" w:rsidP="004A36EF">
      <w:pPr>
        <w:spacing w:line="360" w:lineRule="auto"/>
        <w:jc w:val="both"/>
        <w:rPr>
          <w:lang w:val="uk-UA"/>
        </w:rPr>
      </w:pPr>
      <w:r>
        <w:rPr>
          <w:lang w:val="uk-UA"/>
        </w:rPr>
        <w:t>Захист відбудеться "____"__________2004 року о _____ годині на засіданні спеціалізованої вченої ради Д.64.605.01 при Національному фармацевтичному університеті за адресою: 61002, м. Харків, вул. Пушкінська, 53.</w:t>
      </w:r>
    </w:p>
    <w:p w:rsidR="004A36EF" w:rsidRDefault="004A36EF" w:rsidP="004A36EF">
      <w:pPr>
        <w:spacing w:line="360" w:lineRule="auto"/>
        <w:jc w:val="both"/>
        <w:rPr>
          <w:lang w:val="uk-UA"/>
        </w:rPr>
      </w:pPr>
    </w:p>
    <w:p w:rsidR="004A36EF" w:rsidRDefault="004A36EF" w:rsidP="004A36EF">
      <w:pPr>
        <w:pStyle w:val="afffffff1"/>
      </w:pPr>
      <w:r>
        <w:t>З дисертацією можна ознайомитись у бібліотеці Національного фармацевтичного університету (61168, м. Харків, вул. Блюхера, 4)</w:t>
      </w:r>
    </w:p>
    <w:p w:rsidR="004A36EF" w:rsidRDefault="004A36EF" w:rsidP="004A36EF">
      <w:pPr>
        <w:spacing w:line="360" w:lineRule="auto"/>
        <w:jc w:val="both"/>
        <w:rPr>
          <w:lang w:val="uk-UA"/>
        </w:rPr>
      </w:pPr>
      <w:r>
        <w:rPr>
          <w:lang w:val="uk-UA"/>
        </w:rPr>
        <w:t>Автореферат розісланий "____"__________2004 р.</w:t>
      </w:r>
    </w:p>
    <w:p w:rsidR="004A36EF" w:rsidRPr="004A36EF" w:rsidRDefault="004A36EF" w:rsidP="004A36EF">
      <w:pPr>
        <w:spacing w:line="360" w:lineRule="auto"/>
        <w:jc w:val="both"/>
      </w:pPr>
    </w:p>
    <w:p w:rsidR="004A36EF" w:rsidRDefault="004A36EF" w:rsidP="004A36EF">
      <w:pPr>
        <w:spacing w:line="360" w:lineRule="auto"/>
        <w:jc w:val="both"/>
        <w:rPr>
          <w:lang w:val="uk-UA"/>
        </w:rPr>
      </w:pPr>
      <w:r>
        <w:rPr>
          <w:lang w:val="uk-UA"/>
        </w:rPr>
        <w:t xml:space="preserve">Вчений секретар </w:t>
      </w:r>
    </w:p>
    <w:p w:rsidR="004A36EF" w:rsidRDefault="004A36EF" w:rsidP="004A36EF">
      <w:pPr>
        <w:tabs>
          <w:tab w:val="left" w:pos="6120"/>
        </w:tabs>
        <w:spacing w:line="360" w:lineRule="auto"/>
        <w:jc w:val="both"/>
        <w:rPr>
          <w:lang w:val="uk-UA"/>
        </w:rPr>
      </w:pPr>
      <w:r>
        <w:rPr>
          <w:lang w:val="uk-UA"/>
        </w:rPr>
        <w:t>спеціалізованої вченої ради, доктор біологічних наук, професор</w:t>
      </w:r>
      <w:r>
        <w:rPr>
          <w:lang w:val="uk-UA"/>
        </w:rPr>
        <w:tab/>
      </w:r>
      <w:r>
        <w:rPr>
          <w:lang w:val="uk-UA"/>
        </w:rPr>
        <w:tab/>
      </w:r>
      <w:r>
        <w:rPr>
          <w:lang w:val="uk-UA"/>
        </w:rPr>
        <w:tab/>
        <w:t>Л.М.Малоштан</w:t>
      </w:r>
    </w:p>
    <w:p w:rsidR="004A36EF" w:rsidRDefault="004A36EF" w:rsidP="004A36EF">
      <w:pPr>
        <w:spacing w:line="360" w:lineRule="auto"/>
        <w:jc w:val="both"/>
        <w:rPr>
          <w:lang w:val="uk-UA"/>
        </w:rPr>
      </w:pPr>
    </w:p>
    <w:p w:rsidR="004A36EF" w:rsidRDefault="004A36EF" w:rsidP="004A36EF">
      <w:pPr>
        <w:pStyle w:val="afffffff5"/>
      </w:pPr>
      <w:r>
        <w:t>ЗАГАЛЬНА ХАРАКТЕРИСТИКА РОБОТИ</w:t>
      </w:r>
    </w:p>
    <w:p w:rsidR="004A36EF" w:rsidRDefault="004A36EF" w:rsidP="004A36EF">
      <w:pPr>
        <w:pStyle w:val="afffffff5"/>
        <w:ind w:right="5"/>
      </w:pPr>
    </w:p>
    <w:p w:rsidR="004A36EF" w:rsidRDefault="004A36EF" w:rsidP="004A36EF">
      <w:pPr>
        <w:widowControl w:val="0"/>
        <w:tabs>
          <w:tab w:val="left" w:pos="10206"/>
        </w:tabs>
        <w:spacing w:line="348" w:lineRule="auto"/>
        <w:ind w:right="5" w:firstLine="567"/>
        <w:jc w:val="both"/>
        <w:rPr>
          <w:lang w:val="uk-UA"/>
        </w:rPr>
      </w:pPr>
      <w:r>
        <w:rPr>
          <w:b/>
          <w:bCs/>
          <w:lang w:val="uk-UA"/>
        </w:rPr>
        <w:t xml:space="preserve">Актуальність теми. </w:t>
      </w:r>
      <w:r>
        <w:rPr>
          <w:lang w:val="uk-UA"/>
        </w:rPr>
        <w:t>Заходи державного регулювання в охороні здоров’я спрямовані в пе</w:t>
      </w:r>
      <w:r>
        <w:rPr>
          <w:lang w:val="uk-UA"/>
        </w:rPr>
        <w:t>р</w:t>
      </w:r>
      <w:r>
        <w:rPr>
          <w:lang w:val="uk-UA"/>
        </w:rPr>
        <w:t>шу чергу на соціальний захист населення. Важливим завданням серед них є налагодження ефект</w:t>
      </w:r>
      <w:r>
        <w:rPr>
          <w:lang w:val="uk-UA"/>
        </w:rPr>
        <w:t>и</w:t>
      </w:r>
      <w:r>
        <w:rPr>
          <w:lang w:val="uk-UA"/>
        </w:rPr>
        <w:t>вної системи лікарського забезпечення пільгових категорій населення на рівні держави та окремих регі</w:t>
      </w:r>
      <w:r>
        <w:rPr>
          <w:lang w:val="uk-UA"/>
        </w:rPr>
        <w:t>о</w:t>
      </w:r>
      <w:r>
        <w:rPr>
          <w:lang w:val="uk-UA"/>
        </w:rPr>
        <w:t>нів.</w:t>
      </w:r>
    </w:p>
    <w:p w:rsidR="004A36EF" w:rsidRDefault="004A36EF" w:rsidP="004A36EF">
      <w:pPr>
        <w:widowControl w:val="0"/>
        <w:tabs>
          <w:tab w:val="left" w:pos="10206"/>
        </w:tabs>
        <w:spacing w:line="348" w:lineRule="auto"/>
        <w:ind w:right="5" w:firstLine="567"/>
        <w:jc w:val="both"/>
        <w:rPr>
          <w:lang w:val="uk-UA"/>
        </w:rPr>
      </w:pPr>
      <w:r>
        <w:rPr>
          <w:lang w:val="uk-UA"/>
        </w:rPr>
        <w:t>За таких умов організаційно-економічні підходи до лікарського забезпечення пільгового к</w:t>
      </w:r>
      <w:r>
        <w:rPr>
          <w:lang w:val="uk-UA"/>
        </w:rPr>
        <w:t>о</w:t>
      </w:r>
      <w:r>
        <w:rPr>
          <w:lang w:val="uk-UA"/>
        </w:rPr>
        <w:t>нтингенту населення промислових регіонів повинні передбачати упорядкування системи фінанс</w:t>
      </w:r>
      <w:r>
        <w:rPr>
          <w:lang w:val="uk-UA"/>
        </w:rPr>
        <w:t>у</w:t>
      </w:r>
      <w:r>
        <w:rPr>
          <w:lang w:val="uk-UA"/>
        </w:rPr>
        <w:t>вання на придбання лікарських засобів за рахунок державних і регіональних коштів, контроль за накопиченням фондів для  їх використання за призначенням, а також широке застосування ефе</w:t>
      </w:r>
      <w:r>
        <w:rPr>
          <w:lang w:val="uk-UA"/>
        </w:rPr>
        <w:t>к</w:t>
      </w:r>
      <w:r>
        <w:rPr>
          <w:lang w:val="uk-UA"/>
        </w:rPr>
        <w:t>тивних і безпечних лікарських засобів вітчизняного виробництва, завдяки якому економніше використ</w:t>
      </w:r>
      <w:r>
        <w:rPr>
          <w:lang w:val="uk-UA"/>
        </w:rPr>
        <w:t>о</w:t>
      </w:r>
      <w:r>
        <w:rPr>
          <w:lang w:val="uk-UA"/>
        </w:rPr>
        <w:t>вуються державні та регіональні кошти за рахунок більш доступних цін.</w:t>
      </w:r>
    </w:p>
    <w:p w:rsidR="004A36EF" w:rsidRDefault="004A36EF" w:rsidP="004A36EF">
      <w:pPr>
        <w:widowControl w:val="0"/>
        <w:tabs>
          <w:tab w:val="left" w:pos="10206"/>
        </w:tabs>
        <w:spacing w:line="348" w:lineRule="auto"/>
        <w:ind w:right="5" w:firstLine="567"/>
        <w:jc w:val="both"/>
        <w:rPr>
          <w:lang w:val="uk-UA"/>
        </w:rPr>
      </w:pPr>
      <w:r>
        <w:rPr>
          <w:lang w:val="uk-UA"/>
        </w:rPr>
        <w:t>Таким чином, на сучасному етапі розвитку економіки держави, охорони здоров’я і фармації окреслюються два головних напрямки удосконалення системи лікарського забезпечення пільгових категорій населення промислових регіонів – створення нових фармакоекономічних механізмів  ф</w:t>
      </w:r>
      <w:r>
        <w:rPr>
          <w:lang w:val="uk-UA"/>
        </w:rPr>
        <w:t>у</w:t>
      </w:r>
      <w:r>
        <w:rPr>
          <w:lang w:val="uk-UA"/>
        </w:rPr>
        <w:t>нкціонування самої системи і розширення регіонального виробництва лікарських засобів.</w:t>
      </w:r>
    </w:p>
    <w:p w:rsidR="004A36EF" w:rsidRDefault="004A36EF" w:rsidP="004A36EF">
      <w:pPr>
        <w:pStyle w:val="37"/>
        <w:spacing w:line="348" w:lineRule="auto"/>
        <w:ind w:right="5"/>
      </w:pPr>
      <w:r w:rsidRPr="004A36EF">
        <w:rPr>
          <w:lang w:val="uk-UA"/>
        </w:rPr>
        <w:t>Перший напрямок може успішно вирішуватись шляхом впровадження фармакоекономічних підходів до організації лікарського забезпечення, які дозволять формувати номенклатуру лікарс</w:t>
      </w:r>
      <w:r w:rsidRPr="004A36EF">
        <w:rPr>
          <w:lang w:val="uk-UA"/>
        </w:rPr>
        <w:t>ь</w:t>
      </w:r>
      <w:r w:rsidRPr="004A36EF">
        <w:rPr>
          <w:lang w:val="uk-UA"/>
        </w:rPr>
        <w:t>ких засобів та нормувати їх використання за призначенням. Про такі можливості свідчить досвід інших країн світу, а також наукові праці вітчизняних вчених – Б.Л. Парновського, А.С.</w:t>
      </w:r>
      <w:r>
        <w:t> </w:t>
      </w:r>
      <w:r w:rsidRPr="004A36EF">
        <w:rPr>
          <w:lang w:val="uk-UA"/>
        </w:rPr>
        <w:t>Нємченко, А.В. Кабачної, В.М. Толочка, З.М. Мнушко, Д.І. Дмитрієвського, М.С.</w:t>
      </w:r>
      <w:r>
        <w:t> </w:t>
      </w:r>
      <w:r w:rsidRPr="004A36EF">
        <w:rPr>
          <w:lang w:val="uk-UA"/>
        </w:rPr>
        <w:t>Пономаренка, О.М. Заліс</w:t>
      </w:r>
      <w:r w:rsidRPr="004A36EF">
        <w:rPr>
          <w:lang w:val="uk-UA"/>
        </w:rPr>
        <w:t>ь</w:t>
      </w:r>
      <w:r w:rsidRPr="004A36EF">
        <w:rPr>
          <w:lang w:val="uk-UA"/>
        </w:rPr>
        <w:t xml:space="preserve">кої та ін. </w:t>
      </w:r>
      <w:r>
        <w:t>Але їх дослідження не торкались системи лікарського забезпечення пільгових категорій населення за ринкових умов, у тому числі промислових регіонів.</w:t>
      </w:r>
    </w:p>
    <w:p w:rsidR="004A36EF" w:rsidRDefault="004A36EF" w:rsidP="004A36EF">
      <w:pPr>
        <w:pStyle w:val="afffffff8"/>
        <w:spacing w:line="348" w:lineRule="auto"/>
        <w:ind w:right="5" w:firstLine="561"/>
        <w:jc w:val="both"/>
      </w:pPr>
      <w:r>
        <w:t>Другий напрямок також привертав увагу вчених, які у своїх працях пропонують технологічні розробки регіонального виробництва лікарських засобів, – О.І. Тихонов, Т.Г. Ярних, В.І. Чуєшов, Т.Г. Калинюк, Р.С. Коритнюк та ін. Але знову ж таки, питання лікарського забезпечення пільгових категорій населення за рахунок регіонального виробництва, не обговорювались.</w:t>
      </w:r>
    </w:p>
    <w:p w:rsidR="004A36EF" w:rsidRDefault="004A36EF" w:rsidP="004A36EF">
      <w:pPr>
        <w:pStyle w:val="afffffff8"/>
        <w:spacing w:line="348" w:lineRule="auto"/>
        <w:ind w:right="6" w:firstLine="561"/>
        <w:jc w:val="both"/>
      </w:pPr>
      <w:r>
        <w:t>Це визначає актуальність обраної теми дисертаційного дослідження, його мету і завдання й зумовило необхідність виконання наукової роботи саме у цьому напрямі впродовж 1993-2003 р.р.</w:t>
      </w:r>
    </w:p>
    <w:p w:rsidR="004A36EF" w:rsidRDefault="004A36EF" w:rsidP="004A36EF">
      <w:pPr>
        <w:widowControl w:val="0"/>
        <w:tabs>
          <w:tab w:val="left" w:pos="10206"/>
        </w:tabs>
        <w:spacing w:line="348" w:lineRule="auto"/>
        <w:ind w:right="5" w:firstLine="567"/>
        <w:jc w:val="both"/>
        <w:rPr>
          <w:lang w:val="uk-UA"/>
        </w:rPr>
      </w:pPr>
      <w:r>
        <w:rPr>
          <w:b/>
          <w:bCs/>
          <w:lang w:val="uk-UA"/>
        </w:rPr>
        <w:lastRenderedPageBreak/>
        <w:t>Зв’язок роботи з науковими програмами, планами, темами</w:t>
      </w:r>
      <w:r>
        <w:rPr>
          <w:b/>
          <w:bCs/>
          <w:caps/>
          <w:lang w:val="uk-UA"/>
        </w:rPr>
        <w:t>.</w:t>
      </w:r>
      <w:r>
        <w:rPr>
          <w:b/>
          <w:bCs/>
          <w:lang w:val="uk-UA"/>
        </w:rPr>
        <w:t xml:space="preserve"> </w:t>
      </w:r>
      <w:r>
        <w:rPr>
          <w:lang w:val="uk-UA"/>
        </w:rPr>
        <w:t>Дисертаційна робота викон</w:t>
      </w:r>
      <w:r>
        <w:rPr>
          <w:lang w:val="uk-UA"/>
        </w:rPr>
        <w:t>а</w:t>
      </w:r>
      <w:r>
        <w:rPr>
          <w:lang w:val="uk-UA"/>
        </w:rPr>
        <w:t>на згідно з планом науково-дослідних робіт Національного фармацевтичного університету за т</w:t>
      </w:r>
      <w:r>
        <w:rPr>
          <w:lang w:val="uk-UA"/>
        </w:rPr>
        <w:t>е</w:t>
      </w:r>
      <w:r>
        <w:rPr>
          <w:lang w:val="uk-UA"/>
        </w:rPr>
        <w:t>мами “Розробка проблем підприємництва, менеджменту і маркетингу у фармації” (номер держа</w:t>
      </w:r>
      <w:r>
        <w:rPr>
          <w:lang w:val="uk-UA"/>
        </w:rPr>
        <w:t>в</w:t>
      </w:r>
      <w:r>
        <w:rPr>
          <w:lang w:val="uk-UA"/>
        </w:rPr>
        <w:t>ної реєстрації 0198</w:t>
      </w:r>
      <w:r>
        <w:rPr>
          <w:lang w:val="en-US"/>
        </w:rPr>
        <w:t>U</w:t>
      </w:r>
      <w:r>
        <w:rPr>
          <w:lang w:val="uk-UA"/>
        </w:rPr>
        <w:t>007009) і “Створення нових лікарських препаратів на основі рослинної та природної сировини, зокрема продуктів бджільництва, для дорослих і дітей” (номер державної р</w:t>
      </w:r>
      <w:r>
        <w:rPr>
          <w:lang w:val="uk-UA"/>
        </w:rPr>
        <w:t>е</w:t>
      </w:r>
      <w:r>
        <w:rPr>
          <w:lang w:val="uk-UA"/>
        </w:rPr>
        <w:t>єстрації 0198</w:t>
      </w:r>
      <w:r>
        <w:rPr>
          <w:lang w:val="en-US"/>
        </w:rPr>
        <w:t>U</w:t>
      </w:r>
      <w:r>
        <w:rPr>
          <w:lang w:val="uk-UA"/>
        </w:rPr>
        <w:t>007008) та проблемної комісії “Фармація” МОЗ та АМН України (протокол № 4 від 15.12.1999 року).</w:t>
      </w:r>
    </w:p>
    <w:p w:rsidR="004A36EF" w:rsidRDefault="004A36EF" w:rsidP="004A36EF">
      <w:pPr>
        <w:widowControl w:val="0"/>
        <w:spacing w:line="360" w:lineRule="auto"/>
        <w:ind w:right="5" w:firstLine="567"/>
        <w:jc w:val="both"/>
        <w:rPr>
          <w:spacing w:val="-4"/>
          <w:lang w:val="uk-UA"/>
        </w:rPr>
      </w:pPr>
      <w:r>
        <w:rPr>
          <w:b/>
          <w:bCs/>
          <w:spacing w:val="-4"/>
          <w:lang w:val="uk-UA"/>
        </w:rPr>
        <w:t xml:space="preserve">Мета та завдання дослідження. </w:t>
      </w:r>
      <w:r>
        <w:rPr>
          <w:spacing w:val="-4"/>
          <w:lang w:val="uk-UA"/>
        </w:rPr>
        <w:t>Метою дослідження стало обґрунтування наукових основ удосконалення лікарського забезпечення пільгових категорій населення промислових регіонів шл</w:t>
      </w:r>
      <w:r>
        <w:rPr>
          <w:spacing w:val="-4"/>
          <w:lang w:val="uk-UA"/>
        </w:rPr>
        <w:t>я</w:t>
      </w:r>
      <w:r>
        <w:rPr>
          <w:spacing w:val="-4"/>
          <w:lang w:val="uk-UA"/>
        </w:rPr>
        <w:t>хом створення його стандартизованих варіантів та розширення регіонального виробництва ліків відпові</w:t>
      </w:r>
      <w:r>
        <w:rPr>
          <w:spacing w:val="-4"/>
          <w:lang w:val="uk-UA"/>
        </w:rPr>
        <w:t>д</w:t>
      </w:r>
      <w:r>
        <w:rPr>
          <w:spacing w:val="-4"/>
          <w:lang w:val="uk-UA"/>
        </w:rPr>
        <w:t>но до вимог GMP. Для досягнення поставленої мети потрібно було вирішити наступні завда</w:t>
      </w:r>
      <w:r>
        <w:rPr>
          <w:spacing w:val="-4"/>
          <w:lang w:val="uk-UA"/>
        </w:rPr>
        <w:t>н</w:t>
      </w:r>
      <w:r>
        <w:rPr>
          <w:spacing w:val="-4"/>
          <w:lang w:val="uk-UA"/>
        </w:rPr>
        <w:t>ня:</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дослідити соціально-економічні аспекти лікарського забезпечення населення промислових регіонів та визначити їх особливості стосовно пільгового контингенту населення;</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вивчити фармацевтичний ринок лікарських засобів вітчизняного виробництва та забезп</w:t>
      </w:r>
      <w:r>
        <w:rPr>
          <w:lang w:val="uk-UA"/>
        </w:rPr>
        <w:t>е</w:t>
      </w:r>
      <w:r>
        <w:rPr>
          <w:lang w:val="uk-UA"/>
        </w:rPr>
        <w:t>ченість ними населення;</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провести аналіз лікарського забезпечення населення на пільгових умовах або за рахунок страхових систем у ряді країн світу;</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обґрунтувати програму і методологічні підходи до підбору об’єктів дослідження та н</w:t>
      </w:r>
      <w:r>
        <w:rPr>
          <w:lang w:val="uk-UA"/>
        </w:rPr>
        <w:t>а</w:t>
      </w:r>
      <w:r>
        <w:rPr>
          <w:lang w:val="uk-UA"/>
        </w:rPr>
        <w:t>прямків удосконалення лікарського забезпечення пільгових категорій населення проми</w:t>
      </w:r>
      <w:r>
        <w:rPr>
          <w:lang w:val="uk-UA"/>
        </w:rPr>
        <w:t>с</w:t>
      </w:r>
      <w:r>
        <w:rPr>
          <w:lang w:val="uk-UA"/>
        </w:rPr>
        <w:t>лових регіонів на основі використання сучасних наукових методів;</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здійснити аналіз сучасного стану лікарського забезпечення пільгового контингенту нас</w:t>
      </w:r>
      <w:r>
        <w:rPr>
          <w:lang w:val="uk-UA"/>
        </w:rPr>
        <w:t>е</w:t>
      </w:r>
      <w:r>
        <w:rPr>
          <w:lang w:val="uk-UA"/>
        </w:rPr>
        <w:t>лення у промислових регіонах для окреслення напрямків подальших досліджень;</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обґрунтувати наукові основи удосконалення лікарського забезпечення пільгових категорій населення промислових регіонів за окресленими головними напрямками і розповсюдж</w:t>
      </w:r>
      <w:r>
        <w:rPr>
          <w:lang w:val="uk-UA"/>
        </w:rPr>
        <w:t>е</w:t>
      </w:r>
      <w:r>
        <w:rPr>
          <w:lang w:val="uk-UA"/>
        </w:rPr>
        <w:t>ними захворюваннями, з використанням фармакоекономічних та інших методів;</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створити стандартизовані варіанти лікарського забезпечення пільгових категорій населе</w:t>
      </w:r>
      <w:r>
        <w:rPr>
          <w:lang w:val="uk-UA"/>
        </w:rPr>
        <w:t>н</w:t>
      </w:r>
      <w:r>
        <w:rPr>
          <w:lang w:val="uk-UA"/>
        </w:rPr>
        <w:t>ня промислових регіонів шляхом обґрунтування номенклатури лікарських засобів, фарм</w:t>
      </w:r>
      <w:r>
        <w:rPr>
          <w:lang w:val="uk-UA"/>
        </w:rPr>
        <w:t>а</w:t>
      </w:r>
      <w:r>
        <w:rPr>
          <w:lang w:val="uk-UA"/>
        </w:rPr>
        <w:t>котерапевтичної оцінки їх поєднання та вартісного співставлення;</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 xml:space="preserve">вивчити вітчизняний ринок інфузійних лікарських засобів з метою </w:t>
      </w:r>
      <w:r>
        <w:t>встановлення</w:t>
      </w:r>
      <w:r>
        <w:rPr>
          <w:lang w:val="uk-UA"/>
        </w:rPr>
        <w:t xml:space="preserve"> наявних пр</w:t>
      </w:r>
      <w:r>
        <w:rPr>
          <w:lang w:val="uk-UA"/>
        </w:rPr>
        <w:t>о</w:t>
      </w:r>
      <w:r>
        <w:rPr>
          <w:lang w:val="uk-UA"/>
        </w:rPr>
        <w:t>блем та можливого їх вирішення;</w:t>
      </w:r>
    </w:p>
    <w:p w:rsidR="004A36EF" w:rsidRDefault="004A36EF" w:rsidP="009D5D0C">
      <w:pPr>
        <w:widowControl w:val="0"/>
        <w:numPr>
          <w:ilvl w:val="0"/>
          <w:numId w:val="41"/>
        </w:numPr>
        <w:tabs>
          <w:tab w:val="left" w:pos="851"/>
        </w:tabs>
        <w:suppressAutoHyphens w:val="0"/>
        <w:spacing w:line="353" w:lineRule="auto"/>
        <w:ind w:left="851" w:right="6"/>
        <w:jc w:val="both"/>
        <w:rPr>
          <w:lang w:val="uk-UA"/>
        </w:rPr>
      </w:pPr>
      <w:r>
        <w:rPr>
          <w:lang w:val="uk-UA"/>
        </w:rPr>
        <w:t>теоретично та експериментально обґрунтувати залежність якості інфузійних розчинів від виду упаковки та створити технологічний регламент їх регіонального виробництва відп</w:t>
      </w:r>
      <w:r>
        <w:rPr>
          <w:lang w:val="uk-UA"/>
        </w:rPr>
        <w:t>о</w:t>
      </w:r>
      <w:r>
        <w:rPr>
          <w:lang w:val="uk-UA"/>
        </w:rPr>
        <w:t>відно до правил GMP:</w:t>
      </w:r>
    </w:p>
    <w:p w:rsidR="004A36EF" w:rsidRDefault="004A36EF" w:rsidP="009D5D0C">
      <w:pPr>
        <w:widowControl w:val="0"/>
        <w:numPr>
          <w:ilvl w:val="1"/>
          <w:numId w:val="41"/>
        </w:numPr>
        <w:tabs>
          <w:tab w:val="clear" w:pos="1440"/>
          <w:tab w:val="num" w:pos="1080"/>
          <w:tab w:val="num" w:pos="1591"/>
        </w:tabs>
        <w:suppressAutoHyphens w:val="0"/>
        <w:spacing w:line="353" w:lineRule="auto"/>
        <w:ind w:left="1134" w:right="6" w:hanging="283"/>
        <w:jc w:val="both"/>
        <w:rPr>
          <w:lang w:val="uk-UA"/>
        </w:rPr>
      </w:pPr>
      <w:r>
        <w:rPr>
          <w:lang w:val="uk-UA"/>
        </w:rPr>
        <w:lastRenderedPageBreak/>
        <w:t>провести дослідження щодо вибору сучасних видів упаковки для інфузійних розчинів;</w:t>
      </w:r>
    </w:p>
    <w:p w:rsidR="004A36EF" w:rsidRDefault="004A36EF" w:rsidP="009D5D0C">
      <w:pPr>
        <w:widowControl w:val="0"/>
        <w:numPr>
          <w:ilvl w:val="1"/>
          <w:numId w:val="41"/>
        </w:numPr>
        <w:tabs>
          <w:tab w:val="clear" w:pos="1440"/>
          <w:tab w:val="num" w:pos="1080"/>
          <w:tab w:val="num" w:pos="1591"/>
        </w:tabs>
        <w:suppressAutoHyphens w:val="0"/>
        <w:spacing w:line="353" w:lineRule="auto"/>
        <w:ind w:left="1134" w:right="6" w:hanging="283"/>
        <w:jc w:val="both"/>
        <w:rPr>
          <w:lang w:val="uk-UA"/>
        </w:rPr>
      </w:pPr>
      <w:r>
        <w:rPr>
          <w:lang w:val="uk-UA"/>
        </w:rPr>
        <w:t>вивчити осмолярність розчинів “Реополіглюкін” і “Трисіль”;</w:t>
      </w:r>
    </w:p>
    <w:p w:rsidR="004A36EF" w:rsidRDefault="004A36EF" w:rsidP="009D5D0C">
      <w:pPr>
        <w:widowControl w:val="0"/>
        <w:numPr>
          <w:ilvl w:val="1"/>
          <w:numId w:val="41"/>
        </w:numPr>
        <w:tabs>
          <w:tab w:val="clear" w:pos="1440"/>
          <w:tab w:val="num" w:pos="1080"/>
          <w:tab w:val="num" w:pos="1591"/>
        </w:tabs>
        <w:suppressAutoHyphens w:val="0"/>
        <w:spacing w:line="353" w:lineRule="auto"/>
        <w:ind w:left="1134" w:right="6" w:hanging="283"/>
        <w:jc w:val="both"/>
        <w:rPr>
          <w:lang w:val="uk-UA"/>
        </w:rPr>
      </w:pPr>
      <w:r>
        <w:rPr>
          <w:lang w:val="uk-UA"/>
        </w:rPr>
        <w:t>встановити показники якості інфузійних розчинів “Реополіглюкін” і “Трисіль” в полів</w:t>
      </w:r>
      <w:r>
        <w:rPr>
          <w:lang w:val="uk-UA"/>
        </w:rPr>
        <w:t>і</w:t>
      </w:r>
      <w:r>
        <w:rPr>
          <w:lang w:val="uk-UA"/>
        </w:rPr>
        <w:t>нілхлоридних пакетах;</w:t>
      </w:r>
    </w:p>
    <w:p w:rsidR="004A36EF" w:rsidRDefault="004A36EF" w:rsidP="009D5D0C">
      <w:pPr>
        <w:widowControl w:val="0"/>
        <w:numPr>
          <w:ilvl w:val="1"/>
          <w:numId w:val="41"/>
        </w:numPr>
        <w:tabs>
          <w:tab w:val="clear" w:pos="1440"/>
          <w:tab w:val="num" w:pos="1080"/>
          <w:tab w:val="num" w:pos="1591"/>
        </w:tabs>
        <w:suppressAutoHyphens w:val="0"/>
        <w:spacing w:line="353" w:lineRule="auto"/>
        <w:ind w:left="1134" w:right="6" w:hanging="283"/>
        <w:jc w:val="both"/>
        <w:rPr>
          <w:lang w:val="uk-UA"/>
        </w:rPr>
      </w:pPr>
      <w:r>
        <w:rPr>
          <w:lang w:val="uk-UA"/>
        </w:rPr>
        <w:t>вивчити стабільність досліджуваних розчинів при тривалому зберіганні;</w:t>
      </w:r>
    </w:p>
    <w:p w:rsidR="004A36EF" w:rsidRDefault="004A36EF" w:rsidP="009D5D0C">
      <w:pPr>
        <w:widowControl w:val="0"/>
        <w:numPr>
          <w:ilvl w:val="1"/>
          <w:numId w:val="41"/>
        </w:numPr>
        <w:tabs>
          <w:tab w:val="clear" w:pos="1440"/>
          <w:tab w:val="num" w:pos="1080"/>
          <w:tab w:val="num" w:pos="1591"/>
        </w:tabs>
        <w:suppressAutoHyphens w:val="0"/>
        <w:spacing w:line="353" w:lineRule="auto"/>
        <w:ind w:left="1134" w:right="6" w:hanging="283"/>
        <w:jc w:val="both"/>
        <w:rPr>
          <w:lang w:val="uk-UA"/>
        </w:rPr>
      </w:pPr>
      <w:r>
        <w:rPr>
          <w:lang w:val="uk-UA"/>
        </w:rPr>
        <w:t>розробити промислову технологію, апаратурну схему і оптимізувати допоміжні процеси виробництва розчинів “Реополіглюкін” і “Трисіль”;</w:t>
      </w:r>
    </w:p>
    <w:p w:rsidR="004A36EF" w:rsidRDefault="004A36EF" w:rsidP="009D5D0C">
      <w:pPr>
        <w:widowControl w:val="0"/>
        <w:numPr>
          <w:ilvl w:val="1"/>
          <w:numId w:val="41"/>
        </w:numPr>
        <w:tabs>
          <w:tab w:val="clear" w:pos="1440"/>
          <w:tab w:val="num" w:pos="1080"/>
          <w:tab w:val="num" w:pos="1591"/>
          <w:tab w:val="left" w:pos="10320"/>
        </w:tabs>
        <w:suppressAutoHyphens w:val="0"/>
        <w:spacing w:line="353" w:lineRule="auto"/>
        <w:ind w:left="1134" w:right="6" w:hanging="283"/>
        <w:jc w:val="both"/>
        <w:rPr>
          <w:lang w:val="uk-UA"/>
        </w:rPr>
      </w:pPr>
      <w:r>
        <w:rPr>
          <w:lang w:val="uk-UA"/>
        </w:rPr>
        <w:t>розробити аналітичну нормативну документацію на інфузійні лікарські засоби “Реоп</w:t>
      </w:r>
      <w:r>
        <w:rPr>
          <w:lang w:val="uk-UA"/>
        </w:rPr>
        <w:t>о</w:t>
      </w:r>
      <w:r>
        <w:rPr>
          <w:lang w:val="uk-UA"/>
        </w:rPr>
        <w:t>ліглюкін” і “Трисіль” і впровадити їх на рівні регіонального виробництва (Луганська фармацевтична фабрика).</w:t>
      </w:r>
    </w:p>
    <w:p w:rsidR="004A36EF" w:rsidRDefault="004A36EF" w:rsidP="004A36EF">
      <w:pPr>
        <w:widowControl w:val="0"/>
        <w:tabs>
          <w:tab w:val="left" w:pos="10320"/>
        </w:tabs>
        <w:spacing w:line="360" w:lineRule="auto"/>
        <w:ind w:right="5" w:firstLine="567"/>
        <w:jc w:val="both"/>
        <w:rPr>
          <w:lang w:val="uk-UA"/>
        </w:rPr>
      </w:pPr>
      <w:r>
        <w:rPr>
          <w:b/>
          <w:bCs/>
          <w:lang w:val="uk-UA"/>
        </w:rPr>
        <w:t xml:space="preserve">Об’єкти дослідження. </w:t>
      </w:r>
      <w:r>
        <w:rPr>
          <w:lang w:val="uk-UA"/>
        </w:rPr>
        <w:t>Об’єктами дослідження була організація лікарського забезпечення пільгових категорій населення промислових регіонів України, стан його фінансування, діяльність профільних лікувально-профілактичних установ, аптечних підприємств різних форм власності, які причетні до лікарського забезпечення пільгових категорій населення, результати анкетування та безпосереднього вивчення діяльності медичних і фармацевтичних установ й закладів охорони зд</w:t>
      </w:r>
      <w:r>
        <w:rPr>
          <w:lang w:val="uk-UA"/>
        </w:rPr>
        <w:t>о</w:t>
      </w:r>
      <w:r>
        <w:rPr>
          <w:lang w:val="uk-UA"/>
        </w:rPr>
        <w:t>ров’я та практичної фармації, результати експертних оцінок, здобутки безпосередніх наглядів, і</w:t>
      </w:r>
      <w:r>
        <w:rPr>
          <w:lang w:val="uk-UA"/>
        </w:rPr>
        <w:t>н</w:t>
      </w:r>
      <w:r>
        <w:rPr>
          <w:lang w:val="uk-UA"/>
        </w:rPr>
        <w:t>фузійні розчини “Реополіглюкін” і “Трисіль”, а також технологічний процес і спеціальне обла</w:t>
      </w:r>
      <w:r>
        <w:rPr>
          <w:lang w:val="uk-UA"/>
        </w:rPr>
        <w:t>д</w:t>
      </w:r>
      <w:r>
        <w:rPr>
          <w:lang w:val="uk-UA"/>
        </w:rPr>
        <w:t>нання для забезпечення їх стабільності.</w:t>
      </w:r>
    </w:p>
    <w:p w:rsidR="004A36EF" w:rsidRDefault="004A36EF" w:rsidP="004A36EF">
      <w:pPr>
        <w:widowControl w:val="0"/>
        <w:tabs>
          <w:tab w:val="left" w:pos="10320"/>
        </w:tabs>
        <w:spacing w:line="360" w:lineRule="auto"/>
        <w:ind w:right="5" w:firstLine="567"/>
        <w:jc w:val="both"/>
        <w:rPr>
          <w:lang w:val="uk-UA"/>
        </w:rPr>
      </w:pPr>
      <w:r>
        <w:rPr>
          <w:b/>
          <w:bCs/>
          <w:lang w:val="uk-UA"/>
        </w:rPr>
        <w:t>Предмет дослідження.</w:t>
      </w:r>
      <w:r>
        <w:rPr>
          <w:lang w:val="uk-UA"/>
        </w:rPr>
        <w:t xml:space="preserve"> Предметом дослідження було обґрунтування наукових основ уд</w:t>
      </w:r>
      <w:r>
        <w:rPr>
          <w:lang w:val="uk-UA"/>
        </w:rPr>
        <w:t>о</w:t>
      </w:r>
      <w:r>
        <w:rPr>
          <w:lang w:val="uk-UA"/>
        </w:rPr>
        <w:t>сконалення лікарського забезпечення населення промислових регіонів шляхом створення його стандартизованих варіантів та регіонального виробництва інфузійних лікарських засобів; підгот</w:t>
      </w:r>
      <w:r>
        <w:rPr>
          <w:lang w:val="uk-UA"/>
        </w:rPr>
        <w:t>о</w:t>
      </w:r>
      <w:r>
        <w:rPr>
          <w:lang w:val="uk-UA"/>
        </w:rPr>
        <w:t>вка методичних рекомендацій та аналітичної нормативної документації для впровадження у пра</w:t>
      </w:r>
      <w:r>
        <w:rPr>
          <w:lang w:val="uk-UA"/>
        </w:rPr>
        <w:t>к</w:t>
      </w:r>
      <w:r>
        <w:rPr>
          <w:lang w:val="uk-UA"/>
        </w:rPr>
        <w:t>тичну медицину і фармацію.</w:t>
      </w:r>
    </w:p>
    <w:p w:rsidR="004A36EF" w:rsidRDefault="004A36EF" w:rsidP="004A36EF">
      <w:pPr>
        <w:widowControl w:val="0"/>
        <w:tabs>
          <w:tab w:val="left" w:pos="10320"/>
        </w:tabs>
        <w:spacing w:line="360" w:lineRule="auto"/>
        <w:ind w:right="5" w:firstLine="567"/>
        <w:jc w:val="both"/>
        <w:rPr>
          <w:lang w:val="uk-UA"/>
        </w:rPr>
      </w:pPr>
      <w:r>
        <w:rPr>
          <w:b/>
          <w:bCs/>
          <w:lang w:val="uk-UA"/>
        </w:rPr>
        <w:t xml:space="preserve">Методи дослідження. </w:t>
      </w:r>
      <w:r>
        <w:rPr>
          <w:lang w:val="uk-UA"/>
        </w:rPr>
        <w:t>Методологічну основу дослідження складала сучасна законодавча б</w:t>
      </w:r>
      <w:r>
        <w:rPr>
          <w:lang w:val="uk-UA"/>
        </w:rPr>
        <w:t>а</w:t>
      </w:r>
      <w:r>
        <w:rPr>
          <w:lang w:val="uk-UA"/>
        </w:rPr>
        <w:t>за щодо лікарського забезпечення населення та умов його фінансування, особисті результати в</w:t>
      </w:r>
      <w:r>
        <w:rPr>
          <w:lang w:val="uk-UA"/>
        </w:rPr>
        <w:t>и</w:t>
      </w:r>
      <w:r>
        <w:rPr>
          <w:lang w:val="uk-UA"/>
        </w:rPr>
        <w:t>вчення питань пільгового забезпечення населення в Україні та в інших країнах світу, стан та пер</w:t>
      </w:r>
      <w:r>
        <w:rPr>
          <w:lang w:val="uk-UA"/>
        </w:rPr>
        <w:t>с</w:t>
      </w:r>
      <w:r>
        <w:rPr>
          <w:lang w:val="uk-UA"/>
        </w:rPr>
        <w:t>пективи забезпечення населення інфузійними розчинами.</w:t>
      </w:r>
    </w:p>
    <w:p w:rsidR="004A36EF" w:rsidRPr="004A36EF" w:rsidRDefault="004A36EF" w:rsidP="004A36EF">
      <w:pPr>
        <w:pStyle w:val="afffffff8"/>
        <w:tabs>
          <w:tab w:val="left" w:pos="10320"/>
        </w:tabs>
        <w:ind w:right="5" w:firstLine="561"/>
        <w:jc w:val="both"/>
        <w:rPr>
          <w:lang w:val="uk-UA"/>
        </w:rPr>
      </w:pPr>
      <w:r w:rsidRPr="004A36EF">
        <w:rPr>
          <w:lang w:val="uk-UA"/>
        </w:rPr>
        <w:t>Збір необхідної інформації здійснювався за допомогою соціологічних опитувальних методів (анкетування, інтерв’ю), безпосереднього спостереження, миттєвих наглядів, копіювання перви</w:t>
      </w:r>
      <w:r w:rsidRPr="004A36EF">
        <w:rPr>
          <w:lang w:val="uk-UA"/>
        </w:rPr>
        <w:t>н</w:t>
      </w:r>
      <w:r w:rsidRPr="004A36EF">
        <w:rPr>
          <w:lang w:val="uk-UA"/>
        </w:rPr>
        <w:t>ної та статистичної інформації. Обробка даних та оцінка їх адекватності здійснювались з викори</w:t>
      </w:r>
      <w:r w:rsidRPr="004A36EF">
        <w:rPr>
          <w:lang w:val="uk-UA"/>
        </w:rPr>
        <w:t>с</w:t>
      </w:r>
      <w:r w:rsidRPr="004A36EF">
        <w:rPr>
          <w:lang w:val="uk-UA"/>
        </w:rPr>
        <w:t>танням експертних оцінок, постановки експериментів, математико-статистичних методів та мет</w:t>
      </w:r>
      <w:r w:rsidRPr="004A36EF">
        <w:rPr>
          <w:lang w:val="uk-UA"/>
        </w:rPr>
        <w:t>о</w:t>
      </w:r>
      <w:r w:rsidRPr="004A36EF">
        <w:rPr>
          <w:lang w:val="uk-UA"/>
        </w:rPr>
        <w:t xml:space="preserve">дів сучасних комп’ютерних технологій, технологічних і фізико-хімічних методів дослідження – визначення тотожності, відносної в’язкості, кількісного визначення, токсичності та ін. У </w:t>
      </w:r>
      <w:r w:rsidRPr="004A36EF">
        <w:rPr>
          <w:lang w:val="uk-UA"/>
        </w:rPr>
        <w:lastRenderedPageBreak/>
        <w:t>роботі використані рекомендації зарубіжних і вітчизняних експертів, публікації міжнародних організацій з фармацевтичного аналізу лікарських засобів, дані інформаційно-аналітичних бюлетенів і оглядів, монографічна і довідкова література з питань стандартів лікування захворювань, дотримання в</w:t>
      </w:r>
      <w:r w:rsidRPr="004A36EF">
        <w:rPr>
          <w:lang w:val="uk-UA"/>
        </w:rPr>
        <w:t>и</w:t>
      </w:r>
      <w:r w:rsidRPr="004A36EF">
        <w:rPr>
          <w:lang w:val="uk-UA"/>
        </w:rPr>
        <w:t xml:space="preserve">мог </w:t>
      </w:r>
      <w:r>
        <w:t>GMP</w:t>
      </w:r>
      <w:r w:rsidRPr="004A36EF">
        <w:rPr>
          <w:lang w:val="uk-UA"/>
        </w:rPr>
        <w:t xml:space="preserve"> у виробництві лікарських засобів. </w:t>
      </w:r>
    </w:p>
    <w:p w:rsidR="004A36EF" w:rsidRDefault="004A36EF" w:rsidP="004A36EF">
      <w:pPr>
        <w:widowControl w:val="0"/>
        <w:tabs>
          <w:tab w:val="left" w:pos="10320"/>
        </w:tabs>
        <w:spacing w:line="360" w:lineRule="auto"/>
        <w:ind w:right="5" w:firstLine="567"/>
        <w:jc w:val="both"/>
        <w:rPr>
          <w:lang w:val="uk-UA"/>
        </w:rPr>
      </w:pPr>
      <w:r>
        <w:rPr>
          <w:b/>
          <w:bCs/>
          <w:lang w:val="uk-UA"/>
        </w:rPr>
        <w:t xml:space="preserve">Наукова новизна одержаних результатів. </w:t>
      </w:r>
      <w:r>
        <w:rPr>
          <w:lang w:val="uk-UA"/>
        </w:rPr>
        <w:t>Вперше окреслена низка завдань соціального з</w:t>
      </w:r>
      <w:r>
        <w:rPr>
          <w:lang w:val="uk-UA"/>
        </w:rPr>
        <w:t>а</w:t>
      </w:r>
      <w:r>
        <w:rPr>
          <w:lang w:val="uk-UA"/>
        </w:rPr>
        <w:t>хисту пільгових категорій населення промислових регіонів, серед яких головними є раціональне використання коштів на державному і регіональному рівнях для придбання лікарських засобів, контроль за в</w:t>
      </w:r>
      <w:r>
        <w:rPr>
          <w:lang w:val="uk-UA"/>
        </w:rPr>
        <w:t>и</w:t>
      </w:r>
      <w:r>
        <w:rPr>
          <w:lang w:val="uk-UA"/>
        </w:rPr>
        <w:t>користанням цих ліків за призначенням.</w:t>
      </w:r>
    </w:p>
    <w:p w:rsidR="004A36EF" w:rsidRPr="004A36EF" w:rsidRDefault="004A36EF" w:rsidP="004A36EF">
      <w:pPr>
        <w:pStyle w:val="afffffff8"/>
        <w:tabs>
          <w:tab w:val="left" w:pos="10320"/>
        </w:tabs>
        <w:ind w:right="5" w:firstLine="561"/>
        <w:jc w:val="both"/>
        <w:rPr>
          <w:lang w:val="uk-UA"/>
        </w:rPr>
      </w:pPr>
      <w:r w:rsidRPr="004A36EF">
        <w:rPr>
          <w:lang w:val="uk-UA"/>
        </w:rPr>
        <w:t>На підставі особистої програми та методології досліджень виділені пільгові категорії нас</w:t>
      </w:r>
      <w:r w:rsidRPr="004A36EF">
        <w:rPr>
          <w:lang w:val="uk-UA"/>
        </w:rPr>
        <w:t>е</w:t>
      </w:r>
      <w:r w:rsidRPr="004A36EF">
        <w:rPr>
          <w:lang w:val="uk-UA"/>
        </w:rPr>
        <w:t>лення промислових регіонів, які потребують першочергової уваги до їх лікарського забезпечення. Для цього обґрунтовані шляхи усунення проблем в організації їх лікарського забезпечення та р</w:t>
      </w:r>
      <w:r w:rsidRPr="004A36EF">
        <w:rPr>
          <w:lang w:val="uk-UA"/>
        </w:rPr>
        <w:t>е</w:t>
      </w:r>
      <w:r w:rsidRPr="004A36EF">
        <w:rPr>
          <w:lang w:val="uk-UA"/>
        </w:rPr>
        <w:t>зерви покращення за рахунок впровадження у медичну практику нормуючих механізмів розраху</w:t>
      </w:r>
      <w:r w:rsidRPr="004A36EF">
        <w:rPr>
          <w:lang w:val="uk-UA"/>
        </w:rPr>
        <w:t>н</w:t>
      </w:r>
      <w:r w:rsidRPr="004A36EF">
        <w:rPr>
          <w:lang w:val="uk-UA"/>
        </w:rPr>
        <w:t>ку необхідної номенклатури лікарських засобів та витрат на їх придбання, створення й виробниц</w:t>
      </w:r>
      <w:r w:rsidRPr="004A36EF">
        <w:rPr>
          <w:lang w:val="uk-UA"/>
        </w:rPr>
        <w:t>т</w:t>
      </w:r>
      <w:r w:rsidRPr="004A36EF">
        <w:rPr>
          <w:lang w:val="uk-UA"/>
        </w:rPr>
        <w:t>во доступних за цінами та технологіями лікарських засобів на регіональному рівні.</w:t>
      </w:r>
    </w:p>
    <w:p w:rsidR="004A36EF" w:rsidRDefault="004A36EF" w:rsidP="004A36EF">
      <w:pPr>
        <w:widowControl w:val="0"/>
        <w:tabs>
          <w:tab w:val="left" w:pos="10206"/>
        </w:tabs>
        <w:spacing w:line="360" w:lineRule="auto"/>
        <w:ind w:firstLine="567"/>
        <w:jc w:val="both"/>
        <w:rPr>
          <w:lang w:val="uk-UA"/>
        </w:rPr>
      </w:pPr>
      <w:r>
        <w:rPr>
          <w:lang w:val="uk-UA"/>
        </w:rPr>
        <w:t>З метою реалізації поставлених завдань, вперше обґрунтовані стандартизовані варіанти л</w:t>
      </w:r>
      <w:r>
        <w:rPr>
          <w:lang w:val="uk-UA"/>
        </w:rPr>
        <w:t>і</w:t>
      </w:r>
      <w:r>
        <w:rPr>
          <w:lang w:val="uk-UA"/>
        </w:rPr>
        <w:t>карського забезпечення пільгових категорій населення промислових регіонів, які базуються на м</w:t>
      </w:r>
      <w:r>
        <w:rPr>
          <w:lang w:val="uk-UA"/>
        </w:rPr>
        <w:t>і</w:t>
      </w:r>
      <w:r>
        <w:rPr>
          <w:lang w:val="uk-UA"/>
        </w:rPr>
        <w:t>німізації витрат шляхом оцінки фармакотерапевтичної дії різних схем поєднання лікарських зас</w:t>
      </w:r>
      <w:r>
        <w:rPr>
          <w:lang w:val="uk-UA"/>
        </w:rPr>
        <w:t>о</w:t>
      </w:r>
      <w:r>
        <w:rPr>
          <w:lang w:val="uk-UA"/>
        </w:rPr>
        <w:t>бів. Передбачена можливість вибору стандартизованих варіантів у залежності від стану хворого та наявності коштів на придбання лікарських засобів. Стандартизовані варіанти розглядаються як с</w:t>
      </w:r>
      <w:r>
        <w:rPr>
          <w:lang w:val="uk-UA"/>
        </w:rPr>
        <w:t>и</w:t>
      </w:r>
      <w:r>
        <w:rPr>
          <w:lang w:val="uk-UA"/>
        </w:rPr>
        <w:t>стемно обґрунтовані положення лікарського забезпечення пільгових категорій населення проми</w:t>
      </w:r>
      <w:r>
        <w:rPr>
          <w:lang w:val="uk-UA"/>
        </w:rPr>
        <w:t>с</w:t>
      </w:r>
      <w:r>
        <w:rPr>
          <w:lang w:val="uk-UA"/>
        </w:rPr>
        <w:t>лових регіонів для допомоги регіональним закладам охорони здоров’я, профільним лікувально-профілактичним установам щодо формування та контролю коштів на їх придбання, для побудови певної лікарської тактики. До стандартизованих варіантів увійшли схеми лікарського забезпечення інвалідів, учасників війни та прирівняних до них (16 стандартів), хворих раком легенів і м</w:t>
      </w:r>
      <w:r>
        <w:rPr>
          <w:lang w:val="uk-UA"/>
        </w:rPr>
        <w:t>о</w:t>
      </w:r>
      <w:r>
        <w:rPr>
          <w:lang w:val="uk-UA"/>
        </w:rPr>
        <w:t>лочної залози (14 стандартів), хворих цукровим і нецукровим діабетом (25 стандартів) та хворих шизо</w:t>
      </w:r>
      <w:r>
        <w:rPr>
          <w:lang w:val="uk-UA"/>
        </w:rPr>
        <w:t>ф</w:t>
      </w:r>
      <w:r>
        <w:rPr>
          <w:lang w:val="uk-UA"/>
        </w:rPr>
        <w:t>ренією шубоподібною і епілепсією (18 стандартів).</w:t>
      </w:r>
    </w:p>
    <w:p w:rsidR="004A36EF" w:rsidRDefault="004A36EF" w:rsidP="004A36EF">
      <w:pPr>
        <w:widowControl w:val="0"/>
        <w:spacing w:line="360" w:lineRule="auto"/>
        <w:ind w:firstLine="709"/>
        <w:jc w:val="both"/>
        <w:rPr>
          <w:lang w:val="uk-UA"/>
        </w:rPr>
      </w:pPr>
      <w:r>
        <w:rPr>
          <w:lang w:val="uk-UA"/>
        </w:rPr>
        <w:t>Досліджений вітчизняний ринок інфузійних розчинів та окреслені актуальні напрямки його покращення стосовно лікарського забезпечення пільгових категорій населення промислових рег</w:t>
      </w:r>
      <w:r>
        <w:rPr>
          <w:lang w:val="uk-UA"/>
        </w:rPr>
        <w:t>і</w:t>
      </w:r>
      <w:r>
        <w:rPr>
          <w:lang w:val="uk-UA"/>
        </w:rPr>
        <w:t>онів. Важливим серед них є розширення виробництва інфузійних розчинів на регіональному рівні.</w:t>
      </w:r>
    </w:p>
    <w:p w:rsidR="004A36EF" w:rsidRDefault="004A36EF" w:rsidP="004A36EF">
      <w:pPr>
        <w:widowControl w:val="0"/>
        <w:spacing w:line="360" w:lineRule="auto"/>
        <w:ind w:firstLine="709"/>
        <w:jc w:val="both"/>
        <w:rPr>
          <w:lang w:val="uk-UA"/>
        </w:rPr>
      </w:pPr>
      <w:r>
        <w:rPr>
          <w:lang w:val="uk-UA"/>
        </w:rPr>
        <w:t>Науково обґрунтована промислова технологія регіонального виготовлення, методи контр</w:t>
      </w:r>
      <w:r>
        <w:rPr>
          <w:lang w:val="uk-UA"/>
        </w:rPr>
        <w:t>о</w:t>
      </w:r>
      <w:r>
        <w:rPr>
          <w:lang w:val="uk-UA"/>
        </w:rPr>
        <w:t>лю якості розчинів “Реополіглюкін” і “Трисіль” в полівінілхлоридній упаковці для забезпечення пільгових категорій населення. Вперше проведені фізико-хімічні дослідження розчинів “Реополі</w:t>
      </w:r>
      <w:r>
        <w:rPr>
          <w:lang w:val="uk-UA"/>
        </w:rPr>
        <w:softHyphen/>
      </w:r>
      <w:r>
        <w:rPr>
          <w:lang w:val="uk-UA"/>
        </w:rPr>
        <w:t>г</w:t>
      </w:r>
      <w:r>
        <w:rPr>
          <w:lang w:val="uk-UA"/>
        </w:rPr>
        <w:t xml:space="preserve">люкін” і “Трисіль” в полівінілхлоридній упаковці в процесі тривалого </w:t>
      </w:r>
      <w:r>
        <w:rPr>
          <w:lang w:val="uk-UA"/>
        </w:rPr>
        <w:lastRenderedPageBreak/>
        <w:t>зберігання. Отримані дані щодо проникності води та іонів солей в полівінілхлоридній тарі. Визначено значення осмолярності інфузійних розчинів “Реополіглюкін” і “Трисіль” відповідно до вимог Державної Фармакопеї України.</w:t>
      </w:r>
    </w:p>
    <w:p w:rsidR="004A36EF" w:rsidRDefault="004A36EF" w:rsidP="004A36EF">
      <w:pPr>
        <w:widowControl w:val="0"/>
        <w:tabs>
          <w:tab w:val="left" w:pos="10206"/>
        </w:tabs>
        <w:spacing w:line="360" w:lineRule="auto"/>
        <w:ind w:firstLine="567"/>
        <w:jc w:val="both"/>
        <w:rPr>
          <w:lang w:val="uk-UA"/>
        </w:rPr>
      </w:pPr>
      <w:r>
        <w:rPr>
          <w:b/>
          <w:bCs/>
          <w:lang w:val="uk-UA"/>
        </w:rPr>
        <w:t>Практичне значення одержаних результатів.</w:t>
      </w:r>
      <w:r>
        <w:rPr>
          <w:lang w:val="uk-UA"/>
        </w:rPr>
        <w:t xml:space="preserve"> Теоретичні, організаційно-економічні та т</w:t>
      </w:r>
      <w:r>
        <w:rPr>
          <w:lang w:val="uk-UA"/>
        </w:rPr>
        <w:t>е</w:t>
      </w:r>
      <w:r>
        <w:rPr>
          <w:lang w:val="uk-UA"/>
        </w:rPr>
        <w:t>хнологічні розробки створюють наукові основи для напрямів удосконалення лікарського забезп</w:t>
      </w:r>
      <w:r>
        <w:rPr>
          <w:lang w:val="uk-UA"/>
        </w:rPr>
        <w:t>е</w:t>
      </w:r>
      <w:r>
        <w:rPr>
          <w:lang w:val="uk-UA"/>
        </w:rPr>
        <w:t>чення пільгових категорій населення промислових регіонів, доповнюють систему знань про й</w:t>
      </w:r>
      <w:r>
        <w:rPr>
          <w:lang w:val="uk-UA"/>
        </w:rPr>
        <w:t>о</w:t>
      </w:r>
      <w:r>
        <w:rPr>
          <w:lang w:val="uk-UA"/>
        </w:rPr>
        <w:t>го характер і специфіку на теперішньому етапі розвитку охорони здоров’я.</w:t>
      </w:r>
    </w:p>
    <w:p w:rsidR="004A36EF" w:rsidRDefault="004A36EF" w:rsidP="004A36EF">
      <w:pPr>
        <w:widowControl w:val="0"/>
        <w:tabs>
          <w:tab w:val="left" w:pos="10206"/>
        </w:tabs>
        <w:spacing w:line="360" w:lineRule="auto"/>
        <w:ind w:firstLine="567"/>
        <w:jc w:val="both"/>
        <w:rPr>
          <w:lang w:val="uk-UA"/>
        </w:rPr>
      </w:pPr>
      <w:r>
        <w:rPr>
          <w:lang w:val="uk-UA"/>
        </w:rPr>
        <w:t>За підсумками досліджень обґрунтований алгоритм впровадження у практичну медицину і фармацію науково-методичних документів, а також у систему підготовки фахівців фармації н</w:t>
      </w:r>
      <w:r>
        <w:rPr>
          <w:lang w:val="uk-UA"/>
        </w:rPr>
        <w:t>а</w:t>
      </w:r>
      <w:r>
        <w:rPr>
          <w:lang w:val="uk-UA"/>
        </w:rPr>
        <w:t>вчально-методичних рекомендацій. Усі наукові пропозиції розглядались і затверджені МОЗ Укр</w:t>
      </w:r>
      <w:r>
        <w:rPr>
          <w:lang w:val="uk-UA"/>
        </w:rPr>
        <w:t>а</w:t>
      </w:r>
      <w:r>
        <w:rPr>
          <w:lang w:val="uk-UA"/>
        </w:rPr>
        <w:t>їни, П К “Фармація” МОЗ і АМН України. Серед них:</w:t>
      </w:r>
    </w:p>
    <w:p w:rsidR="004A36EF" w:rsidRDefault="004A36EF" w:rsidP="009D5D0C">
      <w:pPr>
        <w:widowControl w:val="0"/>
        <w:numPr>
          <w:ilvl w:val="0"/>
          <w:numId w:val="42"/>
        </w:numPr>
        <w:tabs>
          <w:tab w:val="clear" w:pos="360"/>
          <w:tab w:val="num" w:pos="840"/>
        </w:tabs>
        <w:suppressAutoHyphens w:val="0"/>
        <w:spacing w:line="360" w:lineRule="auto"/>
        <w:ind w:left="805" w:hanging="238"/>
        <w:jc w:val="both"/>
        <w:rPr>
          <w:lang w:val="uk-UA"/>
        </w:rPr>
      </w:pPr>
      <w:r>
        <w:rPr>
          <w:lang w:val="uk-UA"/>
        </w:rPr>
        <w:t>методичні рекомендації „Дослідження вітчизняного ринку інфузійних лікарських засобів з метою покращення його стану”, ухвалені ПК „Фармація” МОЗ України і АМН України (протокол №25 від 21.11.2002р.) та МОЗ України (13.01.2003р.) і рекомендовані для вкл</w:t>
      </w:r>
      <w:r>
        <w:rPr>
          <w:lang w:val="uk-UA"/>
        </w:rPr>
        <w:t>ю</w:t>
      </w:r>
      <w:r>
        <w:rPr>
          <w:lang w:val="uk-UA"/>
        </w:rPr>
        <w:t>чення у галузевий реєстр нововведень. Знайшли застосування у практичній діяльності   Фармацевтичного управління Харківської облдержадміністрації, ТОВ „Обласна аптечна Холдінгова компанія” Донецької облдержадміністрації, ОКП „Фармація” Дніпропетровс</w:t>
      </w:r>
      <w:r>
        <w:rPr>
          <w:lang w:val="uk-UA"/>
        </w:rPr>
        <w:t>ь</w:t>
      </w:r>
      <w:r>
        <w:rPr>
          <w:lang w:val="uk-UA"/>
        </w:rPr>
        <w:t>кої облдержадміністрації, ОВО „Фармація” Полтавської облдержадміністрації, АО „Фа</w:t>
      </w:r>
      <w:r>
        <w:rPr>
          <w:lang w:val="uk-UA"/>
        </w:rPr>
        <w:t>р</w:t>
      </w:r>
      <w:r>
        <w:rPr>
          <w:lang w:val="uk-UA"/>
        </w:rPr>
        <w:t>мація” Київської міськдержадміністрації (акти впровадження відповідно від 27.02.2003р., 17.03.2003р., 14.04.2003р., 24.03.2003р., 25.03.2003р.), в Інституті невідкладної і відновної хірургії АМН України (акт впровадження від 28.03.2003р.), фармацевтичних підприємств та профільних медичних установ: МБА №207 м. Полтави, ЦМА №232 м. Кремен</w:t>
      </w:r>
      <w:r>
        <w:rPr>
          <w:lang w:val="uk-UA"/>
        </w:rPr>
        <w:softHyphen/>
        <w:t>чука, ЛПО „Фтизіатрія” Дніпропетровської області, Луганської обласної  клінічної лікарні, З</w:t>
      </w:r>
      <w:r>
        <w:rPr>
          <w:lang w:val="uk-UA"/>
        </w:rPr>
        <w:t>а</w:t>
      </w:r>
      <w:r>
        <w:rPr>
          <w:lang w:val="uk-UA"/>
        </w:rPr>
        <w:t>порізької обласної клінічної лікарні, Київської міської лікарні №9 та ін. (акти впровадже</w:t>
      </w:r>
      <w:r>
        <w:rPr>
          <w:lang w:val="uk-UA"/>
        </w:rPr>
        <w:t>н</w:t>
      </w:r>
      <w:r>
        <w:rPr>
          <w:lang w:val="uk-UA"/>
        </w:rPr>
        <w:t>ня відповідно від 07.04.2003р., 28.04.2003р., 21.04.2003р., 07.04.2003р., 29.04.2003р., 18.04.2003р., 12.05.2003р.);</w:t>
      </w:r>
    </w:p>
    <w:p w:rsidR="004A36EF" w:rsidRDefault="004A36EF" w:rsidP="009D5D0C">
      <w:pPr>
        <w:widowControl w:val="0"/>
        <w:numPr>
          <w:ilvl w:val="0"/>
          <w:numId w:val="42"/>
        </w:numPr>
        <w:tabs>
          <w:tab w:val="clear" w:pos="360"/>
          <w:tab w:val="num" w:pos="840"/>
        </w:tabs>
        <w:suppressAutoHyphens w:val="0"/>
        <w:spacing w:line="360" w:lineRule="auto"/>
        <w:ind w:left="805" w:hanging="238"/>
        <w:jc w:val="both"/>
        <w:rPr>
          <w:lang w:val="uk-UA"/>
        </w:rPr>
      </w:pPr>
      <w:r>
        <w:rPr>
          <w:lang w:val="uk-UA"/>
        </w:rPr>
        <w:t>методичні рекомендації „Фармакоекономічні стандарти лікарського забезпечення пільг</w:t>
      </w:r>
      <w:r>
        <w:rPr>
          <w:lang w:val="uk-UA"/>
        </w:rPr>
        <w:t>о</w:t>
      </w:r>
      <w:r>
        <w:rPr>
          <w:lang w:val="uk-UA"/>
        </w:rPr>
        <w:t>вих категорій населення промислових регіонів – хворих шизофренією шубоподібною і еп</w:t>
      </w:r>
      <w:r>
        <w:rPr>
          <w:lang w:val="uk-UA"/>
        </w:rPr>
        <w:t>і</w:t>
      </w:r>
      <w:r>
        <w:rPr>
          <w:lang w:val="uk-UA"/>
        </w:rPr>
        <w:t>лепсією”, ухвалені ПК „Фармація” МОЗ України і АМН України (протокол №27 від 19.02.2003р.). Знайшли застосування у практичній діяльності Міжобласного клінічного психоневрологічного ди</w:t>
      </w:r>
      <w:r>
        <w:rPr>
          <w:lang w:val="uk-UA"/>
        </w:rPr>
        <w:t>с</w:t>
      </w:r>
      <w:r>
        <w:rPr>
          <w:lang w:val="uk-UA"/>
        </w:rPr>
        <w:t>пансеру м. Луганська, Запорізької обласної психіатричної лікарні, Медико-психологічного центру м. Донецька, Краснодонської психіатричної лікарні Луга</w:t>
      </w:r>
      <w:r>
        <w:rPr>
          <w:lang w:val="uk-UA"/>
        </w:rPr>
        <w:t>н</w:t>
      </w:r>
      <w:r>
        <w:rPr>
          <w:lang w:val="uk-UA"/>
        </w:rPr>
        <w:t>ської області, Перевальської обласної психоневрологічної лікарні Луганської області, Харківської медичної ак</w:t>
      </w:r>
      <w:r>
        <w:rPr>
          <w:lang w:val="uk-UA"/>
        </w:rPr>
        <w:t>а</w:t>
      </w:r>
      <w:r>
        <w:rPr>
          <w:lang w:val="uk-UA"/>
        </w:rPr>
        <w:t xml:space="preserve">демії післядипломної освіти та ін. (акти впровадження відповідно від 09.09.2003р., </w:t>
      </w:r>
      <w:r>
        <w:rPr>
          <w:lang w:val="uk-UA"/>
        </w:rPr>
        <w:lastRenderedPageBreak/>
        <w:t>11.11.2003р., 05.12.2003р., 01.12.2003р., 30.11.2003р.);</w:t>
      </w:r>
    </w:p>
    <w:p w:rsidR="004A36EF" w:rsidRDefault="004A36EF" w:rsidP="009D5D0C">
      <w:pPr>
        <w:widowControl w:val="0"/>
        <w:numPr>
          <w:ilvl w:val="0"/>
          <w:numId w:val="42"/>
        </w:numPr>
        <w:tabs>
          <w:tab w:val="clear" w:pos="360"/>
          <w:tab w:val="left" w:pos="284"/>
          <w:tab w:val="num" w:pos="840"/>
          <w:tab w:val="left" w:pos="10206"/>
        </w:tabs>
        <w:suppressAutoHyphens w:val="0"/>
        <w:spacing w:line="360" w:lineRule="auto"/>
        <w:ind w:left="805" w:hanging="238"/>
        <w:jc w:val="both"/>
        <w:rPr>
          <w:lang w:val="uk-UA"/>
        </w:rPr>
      </w:pPr>
      <w:r>
        <w:rPr>
          <w:lang w:val="uk-UA"/>
        </w:rPr>
        <w:t>методичні рекомендації “Фармакоекономічні стандарти лікарського забезпечення пільг</w:t>
      </w:r>
      <w:r>
        <w:rPr>
          <w:lang w:val="uk-UA"/>
        </w:rPr>
        <w:t>о</w:t>
      </w:r>
      <w:r>
        <w:rPr>
          <w:lang w:val="uk-UA"/>
        </w:rPr>
        <w:t>вих категорій населення промислових регіонів – онкохворих (рак легенів та молочної зал</w:t>
      </w:r>
      <w:r>
        <w:rPr>
          <w:lang w:val="uk-UA"/>
        </w:rPr>
        <w:t>о</w:t>
      </w:r>
      <w:r>
        <w:rPr>
          <w:lang w:val="uk-UA"/>
        </w:rPr>
        <w:t>зи)” ухвалені ПК “Фармація” МОЗ України і АМН України (протокол № 27 від 19.02.2003р.) та МОЗ України (22.04.2003р.</w:t>
      </w:r>
      <w:r>
        <w:rPr>
          <w:vanish/>
          <w:lang w:val="uk-UA"/>
        </w:rPr>
        <w:t>.</w:t>
      </w:r>
      <w:r>
        <w:rPr>
          <w:lang w:val="uk-UA"/>
        </w:rPr>
        <w:t>) і рекомендовані для включення у галузевий реєстр нововведень. Знайшли застосування у практичній діяльності Луганського обласного онкодиспансеру, Стаханівського онкодиспансеру, онкодиспансеру м. Алчевська, Красн</w:t>
      </w:r>
      <w:r>
        <w:rPr>
          <w:lang w:val="uk-UA"/>
        </w:rPr>
        <w:t>о</w:t>
      </w:r>
      <w:r>
        <w:rPr>
          <w:lang w:val="uk-UA"/>
        </w:rPr>
        <w:t>луцького онкодиспансеру, Обласного клінічного онкодиспансеру Дніпропетровської обл</w:t>
      </w:r>
      <w:r>
        <w:rPr>
          <w:lang w:val="uk-UA"/>
        </w:rPr>
        <w:t>а</w:t>
      </w:r>
      <w:r>
        <w:rPr>
          <w:lang w:val="uk-UA"/>
        </w:rPr>
        <w:t>сті, Обласного клінічного онкодиспансеру Запорізької області, Донецького обласного пр</w:t>
      </w:r>
      <w:r>
        <w:rPr>
          <w:lang w:val="uk-UA"/>
        </w:rPr>
        <w:t>о</w:t>
      </w:r>
      <w:r>
        <w:rPr>
          <w:lang w:val="uk-UA"/>
        </w:rPr>
        <w:t>типухлинного центру, Обласного клінічного онкодиспансеру Харківської області та ін. (акти впровадження відповідно від 25.06.2003р., 02.07.2003р., 26.06.2003р., 04.072003р., 09.092003р., 14.10.2003р., 28.10.2003р., 26.05.2003р.);</w:t>
      </w:r>
    </w:p>
    <w:p w:rsidR="004A36EF" w:rsidRDefault="004A36EF" w:rsidP="009D5D0C">
      <w:pPr>
        <w:widowControl w:val="0"/>
        <w:numPr>
          <w:ilvl w:val="0"/>
          <w:numId w:val="42"/>
        </w:numPr>
        <w:tabs>
          <w:tab w:val="clear" w:pos="360"/>
          <w:tab w:val="left" w:pos="284"/>
          <w:tab w:val="num" w:pos="840"/>
          <w:tab w:val="left" w:pos="10320"/>
        </w:tabs>
        <w:suppressAutoHyphens w:val="0"/>
        <w:spacing w:line="360" w:lineRule="auto"/>
        <w:ind w:left="805" w:hanging="238"/>
        <w:jc w:val="both"/>
        <w:rPr>
          <w:spacing w:val="-2"/>
          <w:lang w:val="uk-UA"/>
        </w:rPr>
      </w:pPr>
      <w:r>
        <w:rPr>
          <w:spacing w:val="-2"/>
          <w:lang w:val="uk-UA"/>
        </w:rPr>
        <w:t>методичні рекомендації “Фармакоекономічні стандарти лікарського забезпечення піл</w:t>
      </w:r>
      <w:r>
        <w:rPr>
          <w:spacing w:val="-2"/>
          <w:lang w:val="uk-UA"/>
        </w:rPr>
        <w:t>ь</w:t>
      </w:r>
      <w:r>
        <w:rPr>
          <w:spacing w:val="-2"/>
          <w:lang w:val="uk-UA"/>
        </w:rPr>
        <w:t>го</w:t>
      </w:r>
      <w:r>
        <w:rPr>
          <w:spacing w:val="-2"/>
          <w:lang w:val="uk-UA"/>
        </w:rPr>
        <w:softHyphen/>
        <w:t>вих категорій населення промислових регіонів – хворих цукровим і нецукровим діабетом”, ухв</w:t>
      </w:r>
      <w:r>
        <w:rPr>
          <w:spacing w:val="-2"/>
          <w:lang w:val="uk-UA"/>
        </w:rPr>
        <w:t>а</w:t>
      </w:r>
      <w:r>
        <w:rPr>
          <w:spacing w:val="-2"/>
          <w:lang w:val="uk-UA"/>
        </w:rPr>
        <w:t>лені ПК “Фармація” МОЗ України і АМН України (протокол №27 від 19.02.2003 р.) та МОЗ України (20.04.2003 р.) і рекомендовані для включення у галузевий реєстр нововв</w:t>
      </w:r>
      <w:r>
        <w:rPr>
          <w:spacing w:val="-2"/>
          <w:lang w:val="uk-UA"/>
        </w:rPr>
        <w:t>е</w:t>
      </w:r>
      <w:r>
        <w:rPr>
          <w:spacing w:val="-2"/>
          <w:lang w:val="uk-UA"/>
        </w:rPr>
        <w:t xml:space="preserve">день. </w:t>
      </w:r>
    </w:p>
    <w:p w:rsidR="004A36EF" w:rsidRDefault="004A36EF" w:rsidP="009D5D0C">
      <w:pPr>
        <w:widowControl w:val="0"/>
        <w:numPr>
          <w:ilvl w:val="0"/>
          <w:numId w:val="42"/>
        </w:numPr>
        <w:tabs>
          <w:tab w:val="clear" w:pos="360"/>
          <w:tab w:val="left" w:pos="284"/>
          <w:tab w:val="num" w:pos="840"/>
          <w:tab w:val="left" w:pos="10320"/>
        </w:tabs>
        <w:suppressAutoHyphens w:val="0"/>
        <w:spacing w:line="360" w:lineRule="auto"/>
        <w:ind w:left="805" w:hanging="238"/>
        <w:jc w:val="both"/>
        <w:rPr>
          <w:spacing w:val="-2"/>
          <w:lang w:val="uk-UA"/>
        </w:rPr>
      </w:pPr>
      <w:r>
        <w:rPr>
          <w:spacing w:val="-2"/>
          <w:lang w:val="uk-UA"/>
        </w:rPr>
        <w:t>+-Впроваджені у практичну діяльність Луганської обласної клінічної лікарні, Інституту проблем ендокринологічної патології АМН ім. В.Я. Данилевського, Донецького обласного клінічного медоб’єднання, Запорізького обласного ендокринологічного диспансеру, Дніпр</w:t>
      </w:r>
      <w:r>
        <w:rPr>
          <w:spacing w:val="-2"/>
          <w:lang w:val="uk-UA"/>
        </w:rPr>
        <w:t>о</w:t>
      </w:r>
      <w:r>
        <w:rPr>
          <w:spacing w:val="-2"/>
          <w:lang w:val="uk-UA"/>
        </w:rPr>
        <w:t>петровської обласної клінічної лікарні ім. І.І. Мечнікова, Управління охорони здоров’я Р</w:t>
      </w:r>
      <w:r>
        <w:rPr>
          <w:spacing w:val="-2"/>
          <w:lang w:val="uk-UA"/>
        </w:rPr>
        <w:t>у</w:t>
      </w:r>
      <w:r>
        <w:rPr>
          <w:spacing w:val="-2"/>
          <w:lang w:val="uk-UA"/>
        </w:rPr>
        <w:t>біжанської міськради Луганської області, багатопрофільної лікарні м. Сєвєродонецька Л</w:t>
      </w:r>
      <w:r>
        <w:rPr>
          <w:spacing w:val="-2"/>
          <w:lang w:val="uk-UA"/>
        </w:rPr>
        <w:t>у</w:t>
      </w:r>
      <w:r>
        <w:rPr>
          <w:spacing w:val="-2"/>
          <w:lang w:val="uk-UA"/>
        </w:rPr>
        <w:t>ганської області, Луганської міської клінічної багатопрофільної лікарні №5, Луганської п</w:t>
      </w:r>
      <w:r>
        <w:rPr>
          <w:spacing w:val="-2"/>
          <w:lang w:val="uk-UA"/>
        </w:rPr>
        <w:t>о</w:t>
      </w:r>
      <w:r>
        <w:rPr>
          <w:spacing w:val="-2"/>
          <w:lang w:val="uk-UA"/>
        </w:rPr>
        <w:t>ліклініки №10 та ін. (акти впровадження відповідно від 20.06.2003р., 23.10.2003р., 09.10.2003р., 09.09.2003р., 24.09.2003р., 27.06.2003р., 30.06.2003р., 10.07.2003р.);</w:t>
      </w:r>
    </w:p>
    <w:p w:rsidR="004A36EF" w:rsidRDefault="004A36EF" w:rsidP="009D5D0C">
      <w:pPr>
        <w:widowControl w:val="0"/>
        <w:numPr>
          <w:ilvl w:val="0"/>
          <w:numId w:val="42"/>
        </w:numPr>
        <w:tabs>
          <w:tab w:val="clear" w:pos="360"/>
          <w:tab w:val="left" w:pos="284"/>
          <w:tab w:val="num" w:pos="840"/>
          <w:tab w:val="left" w:pos="10320"/>
        </w:tabs>
        <w:suppressAutoHyphens w:val="0"/>
        <w:spacing w:line="360" w:lineRule="auto"/>
        <w:ind w:left="805" w:right="5" w:hanging="238"/>
        <w:jc w:val="both"/>
        <w:rPr>
          <w:lang w:val="uk-UA"/>
        </w:rPr>
      </w:pPr>
      <w:r>
        <w:rPr>
          <w:lang w:val="uk-UA"/>
        </w:rPr>
        <w:t>методичні рекомендації “Фармакоекономічні стандарти лікарського забезпечення пільг</w:t>
      </w:r>
      <w:r>
        <w:rPr>
          <w:lang w:val="uk-UA"/>
        </w:rPr>
        <w:t>о</w:t>
      </w:r>
      <w:r>
        <w:rPr>
          <w:lang w:val="uk-UA"/>
        </w:rPr>
        <w:t>вих категорій населення промислових регіонів – інвалідів, учасників війни та прир</w:t>
      </w:r>
      <w:r>
        <w:rPr>
          <w:lang w:val="uk-UA"/>
        </w:rPr>
        <w:t>і</w:t>
      </w:r>
      <w:r>
        <w:rPr>
          <w:lang w:val="uk-UA"/>
        </w:rPr>
        <w:t>вняних до них”, ухвалені ПК “Фармація” МОЗ України і АМН України (протокол №27 від 19.02.2003 р.) та МОЗ України (20.04.2003 р.) і рекомендовані для включення у галузевий реєстр нововведень. Впроваджені у діяльність Луганського обласного госпіталю ветеранів війни, Донецького обласного госпіталю для інвалідів Великої вітчизняної війни, Запоріз</w:t>
      </w:r>
      <w:r>
        <w:rPr>
          <w:lang w:val="uk-UA"/>
        </w:rPr>
        <w:t>ь</w:t>
      </w:r>
      <w:r>
        <w:rPr>
          <w:lang w:val="uk-UA"/>
        </w:rPr>
        <w:t xml:space="preserve">кої обласної клінічного лікарні, комунального закладу “Обласний госпіталь для інвалідів Великої вітчизняної війни” Дніпропетровської області, Обласного госпіталю для інвалідів війни Харківської </w:t>
      </w:r>
      <w:r>
        <w:rPr>
          <w:lang w:val="uk-UA"/>
        </w:rPr>
        <w:lastRenderedPageBreak/>
        <w:t>області, Управління охорони здоров’я Краснолуцької міськради Луга</w:t>
      </w:r>
      <w:r>
        <w:rPr>
          <w:lang w:val="uk-UA"/>
        </w:rPr>
        <w:t>н</w:t>
      </w:r>
      <w:r>
        <w:rPr>
          <w:lang w:val="uk-UA"/>
        </w:rPr>
        <w:t>ської області та ін. (акти впровадження відповідно від 12.06.2003р., 30.10.2003р., 17.10.2003р., 16.09.2003р., 29.07.2003р., 07.07.2003р.).</w:t>
      </w:r>
    </w:p>
    <w:p w:rsidR="004A36EF" w:rsidRDefault="004A36EF" w:rsidP="004A36EF">
      <w:pPr>
        <w:widowControl w:val="0"/>
        <w:tabs>
          <w:tab w:val="left" w:pos="10320"/>
        </w:tabs>
        <w:spacing w:line="360" w:lineRule="auto"/>
        <w:ind w:right="5" w:firstLine="600"/>
        <w:jc w:val="both"/>
        <w:rPr>
          <w:lang w:val="uk-UA"/>
        </w:rPr>
      </w:pPr>
      <w:r>
        <w:rPr>
          <w:lang w:val="uk-UA"/>
        </w:rPr>
        <w:t>Розроблено технологію виготовлення та встановлено терміни придатності розчинів “Реоп</w:t>
      </w:r>
      <w:r>
        <w:rPr>
          <w:lang w:val="uk-UA"/>
        </w:rPr>
        <w:t>о</w:t>
      </w:r>
      <w:r>
        <w:rPr>
          <w:lang w:val="uk-UA"/>
        </w:rPr>
        <w:t>ліглюкін” та “Трисіль” у полівінілхлоридній упаковці.</w:t>
      </w:r>
    </w:p>
    <w:p w:rsidR="004A36EF" w:rsidRDefault="004A36EF" w:rsidP="004A36EF">
      <w:pPr>
        <w:widowControl w:val="0"/>
        <w:tabs>
          <w:tab w:val="left" w:pos="10320"/>
        </w:tabs>
        <w:spacing w:line="360" w:lineRule="auto"/>
        <w:ind w:right="5" w:firstLine="600"/>
        <w:jc w:val="both"/>
        <w:rPr>
          <w:lang w:val="uk-UA"/>
        </w:rPr>
      </w:pPr>
      <w:r>
        <w:rPr>
          <w:lang w:val="uk-UA"/>
        </w:rPr>
        <w:t>У виробництво Луганської фармацевтичної фабрики впроваджено сучасні технологічні сх</w:t>
      </w:r>
      <w:r>
        <w:rPr>
          <w:lang w:val="uk-UA"/>
        </w:rPr>
        <w:t>е</w:t>
      </w:r>
      <w:r>
        <w:rPr>
          <w:lang w:val="uk-UA"/>
        </w:rPr>
        <w:t>ми промислового виробництва інфузійних розчинів “Реополіглюкін” і “Трисіль” за вимогами GMP. На основі наукових розробок проведена технічна реконструкція і модернізація цеху сте</w:t>
      </w:r>
      <w:r>
        <w:rPr>
          <w:lang w:val="uk-UA"/>
        </w:rPr>
        <w:softHyphen/>
        <w:t>р</w:t>
      </w:r>
      <w:r>
        <w:rPr>
          <w:lang w:val="uk-UA"/>
        </w:rPr>
        <w:t>и</w:t>
      </w:r>
      <w:r>
        <w:rPr>
          <w:lang w:val="uk-UA"/>
        </w:rPr>
        <w:t>льних розчинів Луганської фармацевтичної фабрики.</w:t>
      </w:r>
    </w:p>
    <w:p w:rsidR="004A36EF" w:rsidRDefault="004A36EF" w:rsidP="004A36EF">
      <w:pPr>
        <w:widowControl w:val="0"/>
        <w:tabs>
          <w:tab w:val="left" w:pos="10320"/>
        </w:tabs>
        <w:spacing w:line="360" w:lineRule="auto"/>
        <w:ind w:right="5" w:firstLine="600"/>
        <w:jc w:val="both"/>
        <w:rPr>
          <w:lang w:val="uk-UA"/>
        </w:rPr>
      </w:pPr>
      <w:r>
        <w:rPr>
          <w:lang w:val="uk-UA"/>
        </w:rPr>
        <w:t>Розроблена та затверджена необхідна нормативно-технічна документація: технологічний р</w:t>
      </w:r>
      <w:r>
        <w:rPr>
          <w:lang w:val="uk-UA"/>
        </w:rPr>
        <w:t>е</w:t>
      </w:r>
      <w:r>
        <w:rPr>
          <w:lang w:val="uk-UA"/>
        </w:rPr>
        <w:t>гламент на виробництво інфузійного розчину “Реополіглюкін”, пусковий регламент на виробни</w:t>
      </w:r>
      <w:r>
        <w:rPr>
          <w:lang w:val="uk-UA"/>
        </w:rPr>
        <w:t>ц</w:t>
      </w:r>
      <w:r>
        <w:rPr>
          <w:lang w:val="uk-UA"/>
        </w:rPr>
        <w:t>тво інфузійного розчину “Трисіль”, ТФС 42У-105-1441-99 “Реополіглюкін” (Реєстр. посв. №Р.03.99/00373), ФС 42У-105-143-97 “Трисіль” (Реєстр. посв. № Р/98/17/30).</w:t>
      </w:r>
    </w:p>
    <w:p w:rsidR="004A36EF" w:rsidRDefault="004A36EF" w:rsidP="004A36EF">
      <w:pPr>
        <w:widowControl w:val="0"/>
        <w:tabs>
          <w:tab w:val="left" w:pos="1134"/>
          <w:tab w:val="left" w:pos="10320"/>
        </w:tabs>
        <w:spacing w:line="360" w:lineRule="auto"/>
        <w:ind w:right="5" w:firstLine="567"/>
        <w:jc w:val="both"/>
        <w:rPr>
          <w:lang w:val="uk-UA"/>
        </w:rPr>
      </w:pPr>
      <w:r>
        <w:rPr>
          <w:lang w:val="uk-UA"/>
        </w:rPr>
        <w:t>Фрагменти роботи використані при підготовці навчально-методичної літератури та впров</w:t>
      </w:r>
      <w:r>
        <w:rPr>
          <w:lang w:val="uk-UA"/>
        </w:rPr>
        <w:t>а</w:t>
      </w:r>
      <w:r>
        <w:rPr>
          <w:lang w:val="uk-UA"/>
        </w:rPr>
        <w:t>джені в навчальний процес ряду медичних і фармацевтичних освітніх закладів III - IV рівнів акр</w:t>
      </w:r>
      <w:r>
        <w:rPr>
          <w:lang w:val="uk-UA"/>
        </w:rPr>
        <w:t>е</w:t>
      </w:r>
      <w:r>
        <w:rPr>
          <w:lang w:val="uk-UA"/>
        </w:rPr>
        <w:t>дитації: Національного фармацевтичного університету, Луганського державного медичного ун</w:t>
      </w:r>
      <w:r>
        <w:rPr>
          <w:lang w:val="uk-UA"/>
        </w:rPr>
        <w:t>і</w:t>
      </w:r>
      <w:r>
        <w:rPr>
          <w:lang w:val="uk-UA"/>
        </w:rPr>
        <w:t>верситету, Харківської медичної академії післядипломної освіти, Донецького державного меди</w:t>
      </w:r>
      <w:r>
        <w:rPr>
          <w:lang w:val="uk-UA"/>
        </w:rPr>
        <w:t>ч</w:t>
      </w:r>
      <w:r>
        <w:rPr>
          <w:lang w:val="uk-UA"/>
        </w:rPr>
        <w:t>ного університету ім. М. Горького та ін. (акти впровадження відповідно від 28.08.2003р., 31.08.2003р., 22.12.2003р., 25.12.2003р., 12.12.2003р., 30.11.2003р., 25.12.2003р.).</w:t>
      </w:r>
    </w:p>
    <w:p w:rsidR="004A36EF" w:rsidRDefault="004A36EF" w:rsidP="004A36EF">
      <w:pPr>
        <w:widowControl w:val="0"/>
        <w:tabs>
          <w:tab w:val="left" w:pos="10320"/>
        </w:tabs>
        <w:spacing w:line="360" w:lineRule="auto"/>
        <w:ind w:right="5" w:firstLine="567"/>
        <w:jc w:val="both"/>
        <w:rPr>
          <w:lang w:val="uk-UA"/>
        </w:rPr>
      </w:pPr>
      <w:r>
        <w:rPr>
          <w:b/>
          <w:bCs/>
          <w:lang w:val="uk-UA"/>
        </w:rPr>
        <w:t xml:space="preserve">Особистий внесок здобувача. </w:t>
      </w:r>
      <w:r>
        <w:rPr>
          <w:lang w:val="uk-UA"/>
        </w:rPr>
        <w:t>Дисертаційна робота являє собою самостійну завершену на</w:t>
      </w:r>
      <w:r>
        <w:rPr>
          <w:lang w:val="uk-UA"/>
        </w:rPr>
        <w:t>у</w:t>
      </w:r>
      <w:r>
        <w:rPr>
          <w:lang w:val="uk-UA"/>
        </w:rPr>
        <w:t>кову працю. Дисертанту належить вирішальна роль у визначенні мети дослідження, шляхів її д</w:t>
      </w:r>
      <w:r>
        <w:rPr>
          <w:lang w:val="uk-UA"/>
        </w:rPr>
        <w:t>о</w:t>
      </w:r>
      <w:r>
        <w:rPr>
          <w:lang w:val="uk-UA"/>
        </w:rPr>
        <w:t>сягнення та проведенні експерименту, обробці його результатів, їх інтерпретації та узагальненні од</w:t>
      </w:r>
      <w:r>
        <w:rPr>
          <w:lang w:val="uk-UA"/>
        </w:rPr>
        <w:t>е</w:t>
      </w:r>
      <w:r>
        <w:rPr>
          <w:lang w:val="uk-UA"/>
        </w:rPr>
        <w:t>ржаних результатів і формуванні основних положень та висновків, що захищаються.</w:t>
      </w:r>
    </w:p>
    <w:p w:rsidR="004A36EF" w:rsidRDefault="004A36EF" w:rsidP="004A36EF">
      <w:pPr>
        <w:widowControl w:val="0"/>
        <w:tabs>
          <w:tab w:val="left" w:pos="10206"/>
        </w:tabs>
        <w:spacing w:line="360" w:lineRule="auto"/>
        <w:ind w:right="5" w:firstLine="567"/>
        <w:jc w:val="both"/>
        <w:rPr>
          <w:lang w:val="uk-UA"/>
        </w:rPr>
      </w:pPr>
      <w:r>
        <w:rPr>
          <w:lang w:val="uk-UA"/>
        </w:rPr>
        <w:t>Досліджені соціально-економічні аспекти лікарського забезпечення населення промисл</w:t>
      </w:r>
      <w:r>
        <w:rPr>
          <w:lang w:val="uk-UA"/>
        </w:rPr>
        <w:t>о</w:t>
      </w:r>
      <w:r>
        <w:rPr>
          <w:lang w:val="uk-UA"/>
        </w:rPr>
        <w:t>вих регіонів та окремі організаційно-управлінські проблеми щодо його пільгових категорій з урахуванням стану вітчизняного фармацевтичного ринку та досвіду інших кр</w:t>
      </w:r>
      <w:r>
        <w:rPr>
          <w:lang w:val="uk-UA"/>
        </w:rPr>
        <w:t>а</w:t>
      </w:r>
      <w:r>
        <w:rPr>
          <w:lang w:val="uk-UA"/>
        </w:rPr>
        <w:t>їн;</w:t>
      </w:r>
    </w:p>
    <w:p w:rsidR="004A36EF" w:rsidRPr="004A36EF" w:rsidRDefault="004A36EF" w:rsidP="004A36EF">
      <w:pPr>
        <w:pStyle w:val="afffffff8"/>
        <w:ind w:right="5" w:firstLine="567"/>
        <w:jc w:val="both"/>
        <w:rPr>
          <w:lang w:val="uk-UA"/>
        </w:rPr>
      </w:pPr>
      <w:r w:rsidRPr="004A36EF">
        <w:rPr>
          <w:lang w:val="uk-UA"/>
        </w:rPr>
        <w:t>Обґрунтовані й розроблені особисті програмні та методологічні підходи до вирішення з</w:t>
      </w:r>
      <w:r w:rsidRPr="004A36EF">
        <w:rPr>
          <w:lang w:val="uk-UA"/>
        </w:rPr>
        <w:t>а</w:t>
      </w:r>
      <w:r w:rsidRPr="004A36EF">
        <w:rPr>
          <w:lang w:val="uk-UA"/>
        </w:rPr>
        <w:t>вдань соціального захисту пільгових категорій населення промислових регіонів на підставі раці</w:t>
      </w:r>
      <w:r w:rsidRPr="004A36EF">
        <w:rPr>
          <w:lang w:val="uk-UA"/>
        </w:rPr>
        <w:t>о</w:t>
      </w:r>
      <w:r w:rsidRPr="004A36EF">
        <w:rPr>
          <w:lang w:val="uk-UA"/>
        </w:rPr>
        <w:t>нального використання державних і регіональних коштів для придбання лікарських засобів, пос</w:t>
      </w:r>
      <w:r w:rsidRPr="004A36EF">
        <w:rPr>
          <w:lang w:val="uk-UA"/>
        </w:rPr>
        <w:t>и</w:t>
      </w:r>
      <w:r w:rsidRPr="004A36EF">
        <w:rPr>
          <w:lang w:val="uk-UA"/>
        </w:rPr>
        <w:t>лення контролю їх використання за призначенням шляхом впровадження стандартизованих варі</w:t>
      </w:r>
      <w:r w:rsidRPr="004A36EF">
        <w:rPr>
          <w:lang w:val="uk-UA"/>
        </w:rPr>
        <w:t>а</w:t>
      </w:r>
      <w:r w:rsidRPr="004A36EF">
        <w:rPr>
          <w:lang w:val="uk-UA"/>
        </w:rPr>
        <w:t>нтів розрахунку необхідної номенклатури лікарських засобів та витрат на їх придбання, розш</w:t>
      </w:r>
      <w:r w:rsidRPr="004A36EF">
        <w:rPr>
          <w:lang w:val="uk-UA"/>
        </w:rPr>
        <w:t>и</w:t>
      </w:r>
      <w:r w:rsidRPr="004A36EF">
        <w:rPr>
          <w:lang w:val="uk-UA"/>
        </w:rPr>
        <w:t>рення регіонального виробництва вітчизняних ліків;</w:t>
      </w:r>
    </w:p>
    <w:p w:rsidR="004A36EF" w:rsidRPr="004A36EF" w:rsidRDefault="004A36EF" w:rsidP="004A36EF">
      <w:pPr>
        <w:pStyle w:val="24"/>
        <w:widowControl w:val="0"/>
        <w:ind w:right="5"/>
        <w:rPr>
          <w:spacing w:val="-2"/>
          <w:lang w:val="uk-UA"/>
        </w:rPr>
      </w:pPr>
      <w:r w:rsidRPr="004A36EF">
        <w:rPr>
          <w:lang w:val="uk-UA"/>
        </w:rPr>
        <w:t xml:space="preserve">Досліджений вітчизняний ринок інфузійних розчинів і на підставі </w:t>
      </w:r>
      <w:r w:rsidRPr="004A36EF">
        <w:rPr>
          <w:lang w:val="uk-UA"/>
        </w:rPr>
        <w:lastRenderedPageBreak/>
        <w:t>отриманих результатів створені технологічні основи для розширення виробництва інфузійних розчинів на регіон</w:t>
      </w:r>
      <w:r w:rsidRPr="004A36EF">
        <w:rPr>
          <w:lang w:val="uk-UA"/>
        </w:rPr>
        <w:t>а</w:t>
      </w:r>
      <w:r w:rsidRPr="004A36EF">
        <w:rPr>
          <w:lang w:val="uk-UA"/>
        </w:rPr>
        <w:t>льному рівні для забезпечення пільгових категорій населення</w:t>
      </w:r>
      <w:r w:rsidRPr="004A36EF">
        <w:rPr>
          <w:spacing w:val="-2"/>
          <w:lang w:val="uk-UA"/>
        </w:rPr>
        <w:t>. Для цього вивчено вплив пол</w:t>
      </w:r>
      <w:r w:rsidRPr="004A36EF">
        <w:rPr>
          <w:spacing w:val="-2"/>
          <w:lang w:val="uk-UA"/>
        </w:rPr>
        <w:t>і</w:t>
      </w:r>
      <w:r w:rsidRPr="004A36EF">
        <w:rPr>
          <w:spacing w:val="-2"/>
          <w:lang w:val="uk-UA"/>
        </w:rPr>
        <w:t>вінілхлоридної упаковки на стабільність інфузійних розчинів</w:t>
      </w:r>
      <w:r w:rsidRPr="004A36EF">
        <w:rPr>
          <w:lang w:val="uk-UA"/>
        </w:rPr>
        <w:t>; проведено фізико-хімічні д</w:t>
      </w:r>
      <w:r w:rsidRPr="004A36EF">
        <w:rPr>
          <w:lang w:val="uk-UA"/>
        </w:rPr>
        <w:t>о</w:t>
      </w:r>
      <w:r w:rsidRPr="004A36EF">
        <w:rPr>
          <w:lang w:val="uk-UA"/>
        </w:rPr>
        <w:t>слідження інфузійних розчинів “Реополіглюкін” і “Трисіль” у полімерній упаковці, розрах</w:t>
      </w:r>
      <w:r w:rsidRPr="004A36EF">
        <w:rPr>
          <w:lang w:val="uk-UA"/>
        </w:rPr>
        <w:t>о</w:t>
      </w:r>
      <w:r w:rsidRPr="004A36EF">
        <w:rPr>
          <w:lang w:val="uk-UA"/>
        </w:rPr>
        <w:t>вана осмолярність розчинів; відпрацьовано методики якісного та кількісного аналізу преп</w:t>
      </w:r>
      <w:r w:rsidRPr="004A36EF">
        <w:rPr>
          <w:lang w:val="uk-UA"/>
        </w:rPr>
        <w:t>а</w:t>
      </w:r>
      <w:r w:rsidRPr="004A36EF">
        <w:rPr>
          <w:lang w:val="uk-UA"/>
        </w:rPr>
        <w:t xml:space="preserve">ратів; розроблено і впроваджено у виробництво промислові технології інфузійних розчинів “Реополіглюкін” і “Трисіль” в умовах </w:t>
      </w:r>
      <w:r w:rsidRPr="004A36EF">
        <w:rPr>
          <w:spacing w:val="-2"/>
          <w:lang w:val="uk-UA"/>
        </w:rPr>
        <w:t>Луганської фармацевтичної фабр</w:t>
      </w:r>
      <w:r w:rsidRPr="004A36EF">
        <w:rPr>
          <w:spacing w:val="-2"/>
          <w:lang w:val="uk-UA"/>
        </w:rPr>
        <w:t>и</w:t>
      </w:r>
      <w:r w:rsidRPr="004A36EF">
        <w:rPr>
          <w:spacing w:val="-2"/>
          <w:lang w:val="uk-UA"/>
        </w:rPr>
        <w:t>ки;</w:t>
      </w:r>
    </w:p>
    <w:p w:rsidR="004A36EF" w:rsidRDefault="004A36EF" w:rsidP="004A36EF">
      <w:pPr>
        <w:widowControl w:val="0"/>
        <w:tabs>
          <w:tab w:val="left" w:pos="10206"/>
        </w:tabs>
        <w:spacing w:line="360" w:lineRule="auto"/>
        <w:ind w:right="5" w:firstLine="567"/>
        <w:jc w:val="both"/>
        <w:rPr>
          <w:lang w:val="uk-UA"/>
        </w:rPr>
      </w:pPr>
      <w:r>
        <w:rPr>
          <w:lang w:val="uk-UA"/>
        </w:rPr>
        <w:t>Створена низка наукових рекомендацій, які апробовані і затверджені на рівні МОЗ Укра</w:t>
      </w:r>
      <w:r>
        <w:rPr>
          <w:lang w:val="uk-UA"/>
        </w:rPr>
        <w:t>ї</w:t>
      </w:r>
      <w:r>
        <w:rPr>
          <w:lang w:val="uk-UA"/>
        </w:rPr>
        <w:t>ни. Доведена їх практична значущість як системно обґрунтованих положень лікарського забе</w:t>
      </w:r>
      <w:r>
        <w:rPr>
          <w:lang w:val="uk-UA"/>
        </w:rPr>
        <w:t>з</w:t>
      </w:r>
      <w:r>
        <w:rPr>
          <w:lang w:val="uk-UA"/>
        </w:rPr>
        <w:t>печення пільгових категорій населення промислових регіонів в допомогу закладам охорони здоров’я, профільним лікувально-профілактичним установам щодо форм</w:t>
      </w:r>
      <w:r>
        <w:rPr>
          <w:lang w:val="uk-UA"/>
        </w:rPr>
        <w:t>у</w:t>
      </w:r>
      <w:r>
        <w:rPr>
          <w:lang w:val="uk-UA"/>
        </w:rPr>
        <w:t>вання та контролю за коштами на їх придбання, для побудови певної лікарської тактики.</w:t>
      </w:r>
    </w:p>
    <w:p w:rsidR="004A36EF" w:rsidRDefault="004A36EF" w:rsidP="004A36EF">
      <w:pPr>
        <w:widowControl w:val="0"/>
        <w:tabs>
          <w:tab w:val="left" w:pos="10200"/>
        </w:tabs>
        <w:spacing w:line="360" w:lineRule="auto"/>
        <w:ind w:right="5" w:firstLine="567"/>
        <w:jc w:val="both"/>
        <w:rPr>
          <w:lang w:val="uk-UA"/>
        </w:rPr>
      </w:pPr>
      <w:r>
        <w:rPr>
          <w:lang w:val="uk-UA"/>
        </w:rPr>
        <w:t>У наукових працях, опублікованих зі співавторами М.М. Царевською, Л.В. Савченковою, Т.А. Вітюковою, В.М. Толочко, О.В. Шандебурою (Ахмад), В.М. Хоменко, М.В. Чешевою, М.Л. Сятинею, О.А. Друговіною, О.І. Тихоновим, Н.Ф. Орловецькою, І.Ю. Постольніком, В.Д. Лукьянчуком, М.М. Богдановим та ін., автором використовувались положення особистих досл</w:t>
      </w:r>
      <w:r>
        <w:rPr>
          <w:lang w:val="uk-UA"/>
        </w:rPr>
        <w:t>і</w:t>
      </w:r>
      <w:r>
        <w:rPr>
          <w:lang w:val="uk-UA"/>
        </w:rPr>
        <w:t>джень та результати їх обробки на тому чи іншому етапі виконання дисертаційної роботи.</w:t>
      </w:r>
    </w:p>
    <w:p w:rsidR="004A36EF" w:rsidRDefault="004A36EF" w:rsidP="004A36EF">
      <w:pPr>
        <w:widowControl w:val="0"/>
        <w:tabs>
          <w:tab w:val="left" w:pos="10200"/>
          <w:tab w:val="left" w:pos="10440"/>
        </w:tabs>
        <w:spacing w:line="360" w:lineRule="auto"/>
        <w:ind w:right="5" w:firstLine="567"/>
        <w:jc w:val="both"/>
        <w:rPr>
          <w:lang w:val="uk-UA"/>
        </w:rPr>
      </w:pPr>
      <w:r>
        <w:rPr>
          <w:b/>
          <w:bCs/>
          <w:lang w:val="uk-UA"/>
        </w:rPr>
        <w:t>Апробація результатів дисертації.</w:t>
      </w:r>
      <w:r>
        <w:rPr>
          <w:lang w:val="uk-UA"/>
        </w:rPr>
        <w:t xml:space="preserve"> Основні теоретичні, наукові та методологічні результати дисертаційного дослідження доповідались на Міжнародній науково-методичній конференції “Роль вузів у вирішенні проблем безперервної освіти та вихованні особистості” (Київ, 1995), на</w:t>
      </w:r>
      <w:r>
        <w:rPr>
          <w:lang w:val="uk-UA"/>
        </w:rPr>
        <w:t>у</w:t>
      </w:r>
      <w:r>
        <w:rPr>
          <w:lang w:val="uk-UA"/>
        </w:rPr>
        <w:t>ково-практичній конференції “Актуальні проблеми фармацевтичного маркетингу” (Харків, 1999), Вс</w:t>
      </w:r>
      <w:r>
        <w:rPr>
          <w:lang w:val="uk-UA"/>
        </w:rPr>
        <w:t>е</w:t>
      </w:r>
      <w:r>
        <w:rPr>
          <w:lang w:val="uk-UA"/>
        </w:rPr>
        <w:t>українській науково-практичній конференції ”Вчені України – вітчизняній фармації” (Харків, 2000), науково-практичній конференції “Історія та перспективи розвитку післядипломної освіти лікарів” (Одеса, 2002), науково-методичній конференції “Лекарства – человеку” (Харків, 2002), Всеукраїнській науково-практичний конференції “Фармація XXI століття” (Харків, 2003), Міжн</w:t>
      </w:r>
      <w:r>
        <w:rPr>
          <w:lang w:val="uk-UA"/>
        </w:rPr>
        <w:t>а</w:t>
      </w:r>
      <w:r>
        <w:rPr>
          <w:lang w:val="uk-UA"/>
        </w:rPr>
        <w:t xml:space="preserve">родній науково-практичній </w:t>
      </w:r>
      <w:r>
        <w:rPr>
          <w:lang w:val="uk-UA"/>
        </w:rPr>
        <w:lastRenderedPageBreak/>
        <w:t>конференції “Здобутки та перспективи розвитку управління фармаце</w:t>
      </w:r>
      <w:r>
        <w:rPr>
          <w:lang w:val="uk-UA"/>
        </w:rPr>
        <w:t>в</w:t>
      </w:r>
      <w:r>
        <w:rPr>
          <w:lang w:val="uk-UA"/>
        </w:rPr>
        <w:t>тичними організаціями в умовах ринкової економіки”(Харків, 2003), III Міжнародній науково-практичній конференції “Наука і соціальні потреби суспільства: медицина, фармація, біотехнол</w:t>
      </w:r>
      <w:r>
        <w:rPr>
          <w:lang w:val="uk-UA"/>
        </w:rPr>
        <w:t>о</w:t>
      </w:r>
      <w:r>
        <w:rPr>
          <w:lang w:val="uk-UA"/>
        </w:rPr>
        <w:t>гія” (Харків, 2003), Всеукраїнській науково-практичній конференції “Система післядипломної освіти спеціалістів фармації у ХХІ столітті” (Харків, 2003).</w:t>
      </w:r>
    </w:p>
    <w:p w:rsidR="004A36EF" w:rsidRDefault="004A36EF" w:rsidP="004A36EF">
      <w:pPr>
        <w:widowControl w:val="0"/>
        <w:tabs>
          <w:tab w:val="left" w:pos="10200"/>
          <w:tab w:val="left" w:pos="10440"/>
        </w:tabs>
        <w:spacing w:line="360" w:lineRule="auto"/>
        <w:ind w:right="5" w:firstLine="567"/>
        <w:jc w:val="both"/>
        <w:rPr>
          <w:lang w:val="uk-UA"/>
        </w:rPr>
      </w:pPr>
      <w:r>
        <w:rPr>
          <w:b/>
          <w:bCs/>
          <w:lang w:val="uk-UA"/>
        </w:rPr>
        <w:t>Публікації.</w:t>
      </w:r>
      <w:r>
        <w:rPr>
          <w:lang w:val="uk-UA"/>
        </w:rPr>
        <w:t xml:space="preserve"> За матеріалами дисертаційної роботи опубліковано 39 праць, у тому числі 20 статей у фахових виданнях, 1 підручник, 2 посібники, 5 методичних рекомендацій і 11 тез наук</w:t>
      </w:r>
      <w:r>
        <w:rPr>
          <w:lang w:val="uk-UA"/>
        </w:rPr>
        <w:t>о</w:t>
      </w:r>
      <w:r>
        <w:rPr>
          <w:lang w:val="uk-UA"/>
        </w:rPr>
        <w:t>вих доповідей.</w:t>
      </w:r>
    </w:p>
    <w:p w:rsidR="004A36EF" w:rsidRDefault="004A36EF" w:rsidP="004A36EF">
      <w:pPr>
        <w:widowControl w:val="0"/>
        <w:tabs>
          <w:tab w:val="left" w:pos="10200"/>
          <w:tab w:val="left" w:pos="10440"/>
        </w:tabs>
        <w:spacing w:line="360" w:lineRule="auto"/>
        <w:ind w:right="5" w:firstLine="567"/>
        <w:jc w:val="both"/>
        <w:rPr>
          <w:lang w:val="uk-UA"/>
        </w:rPr>
      </w:pPr>
      <w:r>
        <w:rPr>
          <w:b/>
          <w:bCs/>
          <w:lang w:val="uk-UA"/>
        </w:rPr>
        <w:t xml:space="preserve">Обсяг і структура дисертації. </w:t>
      </w:r>
      <w:r>
        <w:rPr>
          <w:lang w:val="uk-UA"/>
        </w:rPr>
        <w:t>Робота складається зі вступу, огляду літератури (розділ 1), об’єктів і методів дослідження (розділ 2), експериментальної частини (розділи 3-6), загальних в</w:t>
      </w:r>
      <w:r>
        <w:rPr>
          <w:lang w:val="uk-UA"/>
        </w:rPr>
        <w:t>и</w:t>
      </w:r>
      <w:r>
        <w:rPr>
          <w:lang w:val="uk-UA"/>
        </w:rPr>
        <w:t>сновків, списку використаних літературних джерел, додатків. Дисертація викладена на 335 сторі</w:t>
      </w:r>
      <w:r>
        <w:rPr>
          <w:lang w:val="uk-UA"/>
        </w:rPr>
        <w:t>н</w:t>
      </w:r>
      <w:r>
        <w:rPr>
          <w:lang w:val="uk-UA"/>
        </w:rPr>
        <w:t xml:space="preserve">ках машинопису, ілюстрована </w:t>
      </w:r>
      <w:r>
        <w:t>51</w:t>
      </w:r>
      <w:r>
        <w:rPr>
          <w:lang w:val="uk-UA"/>
        </w:rPr>
        <w:t xml:space="preserve"> рисунком та схемами, 105 таблицями. Список використаних літер</w:t>
      </w:r>
      <w:r>
        <w:rPr>
          <w:lang w:val="uk-UA"/>
        </w:rPr>
        <w:t>а</w:t>
      </w:r>
      <w:r>
        <w:rPr>
          <w:lang w:val="uk-UA"/>
        </w:rPr>
        <w:t>турних джерел включає 362 назви, у тому числі 58 іноземних авторів.</w:t>
      </w:r>
    </w:p>
    <w:p w:rsidR="004A36EF" w:rsidRDefault="004A36EF" w:rsidP="004A36EF">
      <w:pPr>
        <w:widowControl w:val="0"/>
        <w:tabs>
          <w:tab w:val="left" w:pos="10200"/>
          <w:tab w:val="left" w:pos="10440"/>
        </w:tabs>
        <w:spacing w:line="360" w:lineRule="auto"/>
        <w:ind w:right="5" w:firstLine="567"/>
        <w:jc w:val="both"/>
        <w:rPr>
          <w:lang w:val="uk-UA"/>
        </w:rPr>
      </w:pPr>
    </w:p>
    <w:p w:rsidR="004A36EF" w:rsidRDefault="004A36EF" w:rsidP="004A36EF">
      <w:pPr>
        <w:pStyle w:val="afffffff5"/>
        <w:tabs>
          <w:tab w:val="left" w:pos="10440"/>
        </w:tabs>
        <w:ind w:right="5"/>
        <w:rPr>
          <w:caps w:val="0"/>
        </w:rPr>
      </w:pPr>
      <w:r>
        <w:rPr>
          <w:caps w:val="0"/>
        </w:rPr>
        <w:t>Основний зміст роботи</w:t>
      </w:r>
    </w:p>
    <w:p w:rsidR="004A36EF" w:rsidRDefault="004A36EF" w:rsidP="004A36EF">
      <w:pPr>
        <w:widowControl w:val="0"/>
        <w:tabs>
          <w:tab w:val="left" w:pos="10440"/>
        </w:tabs>
        <w:spacing w:line="360" w:lineRule="auto"/>
        <w:ind w:right="5" w:firstLine="567"/>
        <w:jc w:val="both"/>
        <w:rPr>
          <w:lang w:val="uk-UA"/>
        </w:rPr>
      </w:pPr>
      <w:r>
        <w:rPr>
          <w:lang w:val="uk-UA"/>
        </w:rPr>
        <w:t>У вступі обґрунтовується актуальність теми, формулюється її мета й завдання, об’єкти, пр</w:t>
      </w:r>
      <w:r>
        <w:rPr>
          <w:lang w:val="uk-UA"/>
        </w:rPr>
        <w:t>е</w:t>
      </w:r>
      <w:r>
        <w:rPr>
          <w:lang w:val="uk-UA"/>
        </w:rPr>
        <w:t>дмет та методи дослідження, доводиться наукова новизна, теоретичне і практичне значення отр</w:t>
      </w:r>
      <w:r>
        <w:rPr>
          <w:lang w:val="uk-UA"/>
        </w:rPr>
        <w:t>и</w:t>
      </w:r>
      <w:r>
        <w:rPr>
          <w:lang w:val="uk-UA"/>
        </w:rPr>
        <w:t>маних результатів.</w:t>
      </w:r>
    </w:p>
    <w:p w:rsidR="004A36EF" w:rsidRDefault="004A36EF" w:rsidP="004A36EF">
      <w:pPr>
        <w:widowControl w:val="0"/>
        <w:tabs>
          <w:tab w:val="left" w:pos="10440"/>
        </w:tabs>
        <w:spacing w:line="360" w:lineRule="auto"/>
        <w:ind w:right="5" w:firstLine="567"/>
        <w:jc w:val="center"/>
        <w:rPr>
          <w:b/>
          <w:bCs/>
          <w:lang w:val="uk-UA"/>
        </w:rPr>
      </w:pPr>
      <w:r>
        <w:rPr>
          <w:b/>
          <w:bCs/>
          <w:lang w:val="uk-UA"/>
        </w:rPr>
        <w:t>Обґрунтування наукових підходів до удосконалення лікарського забезпечення населення в пр</w:t>
      </w:r>
      <w:r>
        <w:rPr>
          <w:b/>
          <w:bCs/>
          <w:lang w:val="uk-UA"/>
        </w:rPr>
        <w:t>о</w:t>
      </w:r>
      <w:r>
        <w:rPr>
          <w:b/>
          <w:bCs/>
          <w:lang w:val="uk-UA"/>
        </w:rPr>
        <w:t>мислових регіонах</w:t>
      </w:r>
    </w:p>
    <w:p w:rsidR="004A36EF" w:rsidRDefault="004A36EF" w:rsidP="004A36EF">
      <w:pPr>
        <w:widowControl w:val="0"/>
        <w:tabs>
          <w:tab w:val="left" w:pos="10440"/>
        </w:tabs>
        <w:spacing w:line="360" w:lineRule="auto"/>
        <w:ind w:right="5" w:firstLine="567"/>
        <w:jc w:val="both"/>
        <w:rPr>
          <w:lang w:val="uk-UA"/>
        </w:rPr>
      </w:pPr>
      <w:r>
        <w:rPr>
          <w:lang w:val="uk-UA"/>
        </w:rPr>
        <w:t>Соціально-економічна нестабільність відносин в Україні негативно впливає на діяльність с</w:t>
      </w:r>
      <w:r>
        <w:rPr>
          <w:lang w:val="uk-UA"/>
        </w:rPr>
        <w:t>и</w:t>
      </w:r>
      <w:r>
        <w:rPr>
          <w:lang w:val="uk-UA"/>
        </w:rPr>
        <w:t>стеми охорони здоров’я населення, оскільки обмеженість фінансування ускладнює дост</w:t>
      </w:r>
      <w:r>
        <w:rPr>
          <w:lang w:val="uk-UA"/>
        </w:rPr>
        <w:t>у</w:t>
      </w:r>
      <w:r>
        <w:rPr>
          <w:lang w:val="uk-UA"/>
        </w:rPr>
        <w:t>п</w:t>
      </w:r>
      <w:r>
        <w:rPr>
          <w:lang w:val="uk-UA"/>
        </w:rPr>
        <w:softHyphen/>
        <w:t>ність медичної і лікарської допомоги, впровадження новітніх технологій лікування й діагностики, з</w:t>
      </w:r>
      <w:r>
        <w:rPr>
          <w:lang w:val="uk-UA"/>
        </w:rPr>
        <w:t>а</w:t>
      </w:r>
      <w:r>
        <w:rPr>
          <w:lang w:val="uk-UA"/>
        </w:rPr>
        <w:t>безпеченість населення якісними та за доступними цінами лікарськими засобами, призводить до скорочення соціальних програм. Проблема підсилюється зростанням захворюваності населе</w:t>
      </w:r>
      <w:r>
        <w:rPr>
          <w:lang w:val="uk-UA"/>
        </w:rPr>
        <w:t>н</w:t>
      </w:r>
      <w:r>
        <w:rPr>
          <w:lang w:val="uk-UA"/>
        </w:rPr>
        <w:t>ня.</w:t>
      </w:r>
    </w:p>
    <w:p w:rsidR="004A36EF" w:rsidRDefault="004A36EF" w:rsidP="004A36EF">
      <w:pPr>
        <w:pStyle w:val="24"/>
        <w:widowControl w:val="0"/>
        <w:ind w:right="5"/>
      </w:pPr>
      <w:r w:rsidRPr="004A36EF">
        <w:rPr>
          <w:lang w:val="uk-UA"/>
        </w:rPr>
        <w:t xml:space="preserve">Недостатнє фінансування, несвоєчасне повернення заборгованих бюджетних коштів аптекам за лікарські засоби призводить до скорочення їх відпуску пільговим категоріям населення. </w:t>
      </w:r>
      <w:r>
        <w:t>Тому в Україні придбання лікарських засобів на 75% фінансують самі хворі, в тому числі пільгові катег</w:t>
      </w:r>
      <w:r>
        <w:t>о</w:t>
      </w:r>
      <w:r>
        <w:t>рії населення.</w:t>
      </w:r>
    </w:p>
    <w:p w:rsidR="004A36EF" w:rsidRDefault="004A36EF" w:rsidP="004A36EF">
      <w:pPr>
        <w:widowControl w:val="0"/>
        <w:spacing w:line="360" w:lineRule="auto"/>
        <w:ind w:right="5" w:firstLine="567"/>
        <w:jc w:val="both"/>
        <w:rPr>
          <w:lang w:val="uk-UA"/>
        </w:rPr>
      </w:pPr>
      <w:r>
        <w:rPr>
          <w:lang w:val="uk-UA"/>
        </w:rPr>
        <w:lastRenderedPageBreak/>
        <w:t>Ефективним важелем досягнення балансу між витратами на лікарські засоби і бюджетними коштами, які надаються на їх придбання, може бути національний перелік основних лікарських засобів і впровадження формулярної системи. При цьому необхідно враховувати територіально-економічні особливості промислових регіонів, у яких виникає ряд специфічних чинників, напр</w:t>
      </w:r>
      <w:r>
        <w:rPr>
          <w:lang w:val="uk-UA"/>
        </w:rPr>
        <w:t>и</w:t>
      </w:r>
      <w:r>
        <w:rPr>
          <w:lang w:val="uk-UA"/>
        </w:rPr>
        <w:t>к</w:t>
      </w:r>
      <w:r>
        <w:rPr>
          <w:lang w:val="uk-UA"/>
        </w:rPr>
        <w:softHyphen/>
        <w:t>лад, густота населення і його міграція залежно від місця проживання й праці, погіршення еколог</w:t>
      </w:r>
      <w:r>
        <w:rPr>
          <w:lang w:val="uk-UA"/>
        </w:rPr>
        <w:t>і</w:t>
      </w:r>
      <w:r>
        <w:rPr>
          <w:lang w:val="uk-UA"/>
        </w:rPr>
        <w:t>чних умов, зростання загальної захворюваності.</w:t>
      </w:r>
    </w:p>
    <w:p w:rsidR="004A36EF" w:rsidRDefault="004A36EF" w:rsidP="004A36EF">
      <w:pPr>
        <w:widowControl w:val="0"/>
        <w:spacing w:line="360" w:lineRule="auto"/>
        <w:ind w:right="5" w:firstLine="567"/>
        <w:jc w:val="both"/>
        <w:rPr>
          <w:lang w:val="uk-UA"/>
        </w:rPr>
      </w:pPr>
      <w:r>
        <w:rPr>
          <w:lang w:val="uk-UA"/>
        </w:rPr>
        <w:t>Важливо розуміти, що стан та організація лікарського забезпечення пільгових категорій н</w:t>
      </w:r>
      <w:r>
        <w:rPr>
          <w:lang w:val="uk-UA"/>
        </w:rPr>
        <w:t>а</w:t>
      </w:r>
      <w:r>
        <w:rPr>
          <w:lang w:val="uk-UA"/>
        </w:rPr>
        <w:t>селення не тільки відбиває рівень розвитку охорони здоров’я, але й можливості держави в цілому. Тому першочерговими заходами у вирішенні даних проблем має бути створення галузевих ста</w:t>
      </w:r>
      <w:r>
        <w:rPr>
          <w:lang w:val="uk-UA"/>
        </w:rPr>
        <w:t>н</w:t>
      </w:r>
      <w:r>
        <w:rPr>
          <w:lang w:val="uk-UA"/>
        </w:rPr>
        <w:t>дартів лікування й формування на їх підставі формулярної системи лікарського забезпечення хв</w:t>
      </w:r>
      <w:r>
        <w:rPr>
          <w:lang w:val="uk-UA"/>
        </w:rPr>
        <w:t>о</w:t>
      </w:r>
      <w:r>
        <w:rPr>
          <w:lang w:val="uk-UA"/>
        </w:rPr>
        <w:t>рих, залучення коштів соціального і обов’язкового медичного страхування з метою часткового п</w:t>
      </w:r>
      <w:r>
        <w:rPr>
          <w:lang w:val="uk-UA"/>
        </w:rPr>
        <w:t>о</w:t>
      </w:r>
      <w:r>
        <w:rPr>
          <w:lang w:val="uk-UA"/>
        </w:rPr>
        <w:t>криття витрат на лікарські засоби для пільгових категорій населення, здійснення ко</w:t>
      </w:r>
      <w:r>
        <w:rPr>
          <w:lang w:val="uk-UA"/>
        </w:rPr>
        <w:t>н</w:t>
      </w:r>
      <w:r>
        <w:rPr>
          <w:lang w:val="uk-UA"/>
        </w:rPr>
        <w:t>тролю за їх раціональним призначенням й використанням.</w:t>
      </w:r>
    </w:p>
    <w:p w:rsidR="004A36EF" w:rsidRDefault="004A36EF" w:rsidP="004A36EF">
      <w:pPr>
        <w:widowControl w:val="0"/>
        <w:spacing w:line="360" w:lineRule="auto"/>
        <w:ind w:right="5" w:firstLine="567"/>
        <w:jc w:val="both"/>
        <w:rPr>
          <w:lang w:val="uk-UA"/>
        </w:rPr>
      </w:pPr>
      <w:r>
        <w:rPr>
          <w:lang w:val="uk-UA"/>
        </w:rPr>
        <w:t>Система стандартів лікування та відповідна формулярна система лікарського забезпечення повинні відповідати певним вимогам, серед яких доступність і простота у використанні, забезп</w:t>
      </w:r>
      <w:r>
        <w:rPr>
          <w:lang w:val="uk-UA"/>
        </w:rPr>
        <w:t>е</w:t>
      </w:r>
      <w:r>
        <w:rPr>
          <w:lang w:val="uk-UA"/>
        </w:rPr>
        <w:t>ченість законодавчою підтримкою, створення належних стимулів при їх використанні. Тому для їх обґрунтування необхідне подальше впровадження фармакоекономічних методів. Законодавча пі</w:t>
      </w:r>
      <w:r>
        <w:rPr>
          <w:lang w:val="uk-UA"/>
        </w:rPr>
        <w:t>д</w:t>
      </w:r>
      <w:r>
        <w:rPr>
          <w:lang w:val="uk-UA"/>
        </w:rPr>
        <w:t>става для застосування методів фармакоекономіки і на їх основі створення стандартів лікарського з</w:t>
      </w:r>
      <w:r>
        <w:rPr>
          <w:lang w:val="uk-UA"/>
        </w:rPr>
        <w:t>а</w:t>
      </w:r>
      <w:r>
        <w:rPr>
          <w:lang w:val="uk-UA"/>
        </w:rPr>
        <w:t>безпечення населення України існує.</w:t>
      </w:r>
    </w:p>
    <w:p w:rsidR="004A36EF" w:rsidRDefault="004A36EF" w:rsidP="004A36EF">
      <w:pPr>
        <w:widowControl w:val="0"/>
        <w:spacing w:line="360" w:lineRule="auto"/>
        <w:ind w:right="5" w:firstLine="567"/>
        <w:jc w:val="both"/>
        <w:rPr>
          <w:lang w:val="uk-UA"/>
        </w:rPr>
      </w:pPr>
      <w:r>
        <w:rPr>
          <w:lang w:val="uk-UA"/>
        </w:rPr>
        <w:t>Важливим напрямком удосконалення лікарського забезпечення пільгових категорій населе</w:t>
      </w:r>
      <w:r>
        <w:rPr>
          <w:lang w:val="uk-UA"/>
        </w:rPr>
        <w:t>н</w:t>
      </w:r>
      <w:r>
        <w:rPr>
          <w:lang w:val="uk-UA"/>
        </w:rPr>
        <w:t>ня, в тому числі промислових регіонів, є нарощування вітчизняного виробництва лікарських зас</w:t>
      </w:r>
      <w:r>
        <w:rPr>
          <w:lang w:val="uk-UA"/>
        </w:rPr>
        <w:t>о</w:t>
      </w:r>
      <w:r>
        <w:rPr>
          <w:lang w:val="uk-UA"/>
        </w:rPr>
        <w:t>бів, завдяки якому через ціноутворення можна ефективно впливати на використання державних і регіональних коштів. Особливо це важливо для інфузійних розчинів, які використовуються майже у кожному другому випадку забезпечення пільгових категорій населення.</w:t>
      </w:r>
    </w:p>
    <w:p w:rsidR="004A36EF" w:rsidRDefault="004A36EF" w:rsidP="004A36EF">
      <w:pPr>
        <w:widowControl w:val="0"/>
        <w:spacing w:line="360" w:lineRule="auto"/>
        <w:ind w:right="5" w:firstLine="567"/>
        <w:jc w:val="both"/>
        <w:rPr>
          <w:lang w:val="uk-UA"/>
        </w:rPr>
      </w:pPr>
      <w:r>
        <w:rPr>
          <w:lang w:val="uk-UA"/>
        </w:rPr>
        <w:t>Окреслені напрямки удосконалення лікарського забезпечення пільгових категорій населення промислових регіонів співпадають з такими в інших країнах світу, де їх вирішують шляхом ств</w:t>
      </w:r>
      <w:r>
        <w:rPr>
          <w:lang w:val="uk-UA"/>
        </w:rPr>
        <w:t>о</w:t>
      </w:r>
      <w:r>
        <w:rPr>
          <w:lang w:val="uk-UA"/>
        </w:rPr>
        <w:t>рення державних програм і відповідного законодавства, використання систем відшкодування ва</w:t>
      </w:r>
      <w:r>
        <w:rPr>
          <w:lang w:val="uk-UA"/>
        </w:rPr>
        <w:t>р</w:t>
      </w:r>
      <w:r>
        <w:rPr>
          <w:lang w:val="uk-UA"/>
        </w:rPr>
        <w:t>тості лікарських засобів через державні чи приватні страхові компанії на підставі нормованої н</w:t>
      </w:r>
      <w:r>
        <w:rPr>
          <w:lang w:val="uk-UA"/>
        </w:rPr>
        <w:t>о</w:t>
      </w:r>
      <w:r>
        <w:rPr>
          <w:lang w:val="uk-UA"/>
        </w:rPr>
        <w:t>менклатури лікарських засобів і стандартів або формулярів їх використання.</w:t>
      </w:r>
    </w:p>
    <w:p w:rsidR="004A36EF" w:rsidRDefault="004A36EF" w:rsidP="004A36EF">
      <w:pPr>
        <w:widowControl w:val="0"/>
        <w:tabs>
          <w:tab w:val="left" w:pos="10440"/>
        </w:tabs>
        <w:spacing w:line="360" w:lineRule="auto"/>
        <w:ind w:right="5" w:firstLine="567"/>
        <w:jc w:val="center"/>
        <w:rPr>
          <w:caps/>
          <w:lang w:val="uk-UA"/>
        </w:rPr>
      </w:pPr>
      <w:r>
        <w:rPr>
          <w:b/>
          <w:bCs/>
          <w:lang w:val="uk-UA"/>
        </w:rPr>
        <w:t>Програма і методологічні підходи до обґрунтування об’єктів дослідження та напрямків удосконалення лікарського забезпечення пільгових категорій населення на рівні</w:t>
      </w:r>
      <w:r>
        <w:rPr>
          <w:b/>
          <w:bCs/>
          <w:lang w:val="uk-UA"/>
        </w:rPr>
        <w:br/>
        <w:t xml:space="preserve"> промисл</w:t>
      </w:r>
      <w:r>
        <w:rPr>
          <w:b/>
          <w:bCs/>
          <w:lang w:val="uk-UA"/>
        </w:rPr>
        <w:t>о</w:t>
      </w:r>
      <w:r>
        <w:rPr>
          <w:b/>
          <w:bCs/>
          <w:lang w:val="uk-UA"/>
        </w:rPr>
        <w:t>вого регіону</w:t>
      </w:r>
    </w:p>
    <w:p w:rsidR="004A36EF" w:rsidRDefault="004A36EF" w:rsidP="004A36EF">
      <w:pPr>
        <w:widowControl w:val="0"/>
        <w:spacing w:line="360" w:lineRule="auto"/>
        <w:ind w:right="5" w:firstLine="567"/>
        <w:jc w:val="both"/>
        <w:rPr>
          <w:spacing w:val="-2"/>
          <w:lang w:val="uk-UA"/>
        </w:rPr>
      </w:pPr>
      <w:r>
        <w:rPr>
          <w:spacing w:val="-2"/>
          <w:lang w:val="uk-UA"/>
        </w:rPr>
        <w:lastRenderedPageBreak/>
        <w:t>Підґрунтям програми наукових досліджень слугував комплексний підхід з використанням системного аналізу, що дозволило створити алгоритм послідовності вирішення поставлених з</w:t>
      </w:r>
      <w:r>
        <w:rPr>
          <w:spacing w:val="-2"/>
          <w:lang w:val="uk-UA"/>
        </w:rPr>
        <w:t>а</w:t>
      </w:r>
      <w:r>
        <w:rPr>
          <w:spacing w:val="-2"/>
          <w:lang w:val="uk-UA"/>
        </w:rPr>
        <w:t>вдань.</w:t>
      </w:r>
    </w:p>
    <w:p w:rsidR="004A36EF" w:rsidRDefault="004A36EF" w:rsidP="004A36EF">
      <w:pPr>
        <w:pStyle w:val="24"/>
        <w:widowControl w:val="0"/>
        <w:ind w:right="5"/>
      </w:pPr>
      <w:r w:rsidRPr="004A36EF">
        <w:rPr>
          <w:lang w:val="uk-UA"/>
        </w:rPr>
        <w:t>Базовими об’єктами слугували профільні заклади охорони здоров’я промислових регіонів р</w:t>
      </w:r>
      <w:r w:rsidRPr="004A36EF">
        <w:rPr>
          <w:lang w:val="uk-UA"/>
        </w:rPr>
        <w:t>і</w:t>
      </w:r>
      <w:r w:rsidRPr="004A36EF">
        <w:rPr>
          <w:lang w:val="uk-UA"/>
        </w:rPr>
        <w:t xml:space="preserve">зного підпорядкування (обласного, районного, міського), фармацевтичні та аптечні підприємства. </w:t>
      </w:r>
      <w:r>
        <w:t>Для одержання репрезентативних даних використовували необхідний обсяг вибіркових наглядів.</w:t>
      </w:r>
    </w:p>
    <w:p w:rsidR="004A36EF" w:rsidRDefault="004A36EF" w:rsidP="004A36EF">
      <w:pPr>
        <w:widowControl w:val="0"/>
        <w:spacing w:line="360" w:lineRule="auto"/>
        <w:ind w:right="5" w:firstLine="567"/>
        <w:jc w:val="both"/>
        <w:rPr>
          <w:lang w:val="uk-UA"/>
        </w:rPr>
      </w:pPr>
      <w:r>
        <w:rPr>
          <w:lang w:val="uk-UA"/>
        </w:rPr>
        <w:t>Важливим для вирішення поставлених завдань було отримання необхідних даних шляхом використання різних методів спостережень: поточного, періодичного, одночасного, с</w:t>
      </w:r>
      <w:r>
        <w:rPr>
          <w:lang w:val="uk-UA"/>
        </w:rPr>
        <w:t>у</w:t>
      </w:r>
      <w:r>
        <w:rPr>
          <w:lang w:val="uk-UA"/>
        </w:rPr>
        <w:t>цільного, монографічного, безпосереднього, документального, анкетного. З метою вивчення фармакотер</w:t>
      </w:r>
      <w:r>
        <w:rPr>
          <w:lang w:val="uk-UA"/>
        </w:rPr>
        <w:t>а</w:t>
      </w:r>
      <w:r>
        <w:rPr>
          <w:lang w:val="uk-UA"/>
        </w:rPr>
        <w:t>певтичної ефективності лікарських засобів, перспектив їх включення до стандартизов</w:t>
      </w:r>
      <w:r>
        <w:rPr>
          <w:lang w:val="uk-UA"/>
        </w:rPr>
        <w:t>а</w:t>
      </w:r>
      <w:r>
        <w:rPr>
          <w:lang w:val="uk-UA"/>
        </w:rPr>
        <w:t>них схем  лікування пільгових категорій населення промислових регіонів застосовували методи експертних оцінок. Тому у наших дослідженнях велике значення приділялось добору експертів із числа на</w:t>
      </w:r>
      <w:r>
        <w:rPr>
          <w:lang w:val="uk-UA"/>
        </w:rPr>
        <w:t>й</w:t>
      </w:r>
      <w:r>
        <w:rPr>
          <w:lang w:val="uk-UA"/>
        </w:rPr>
        <w:t>досвідченіших фахівців медицини й фармації за кожним профілем надання медичної і лікарської д</w:t>
      </w:r>
      <w:r>
        <w:rPr>
          <w:lang w:val="uk-UA"/>
        </w:rPr>
        <w:t>о</w:t>
      </w:r>
      <w:r>
        <w:rPr>
          <w:lang w:val="uk-UA"/>
        </w:rPr>
        <w:t>помоги пільговим категоріям населення.</w:t>
      </w:r>
    </w:p>
    <w:p w:rsidR="004A36EF" w:rsidRDefault="004A36EF" w:rsidP="004A36EF">
      <w:pPr>
        <w:widowControl w:val="0"/>
        <w:spacing w:line="360" w:lineRule="auto"/>
        <w:ind w:right="5" w:firstLine="567"/>
        <w:jc w:val="both"/>
        <w:rPr>
          <w:lang w:val="uk-UA"/>
        </w:rPr>
      </w:pPr>
      <w:r>
        <w:rPr>
          <w:lang w:val="uk-UA"/>
        </w:rPr>
        <w:t>Отримані результати підлягали заключній експертизі і апробації з метою відбору стандарт</w:t>
      </w:r>
      <w:r>
        <w:rPr>
          <w:lang w:val="uk-UA"/>
        </w:rPr>
        <w:t>и</w:t>
      </w:r>
      <w:r>
        <w:rPr>
          <w:lang w:val="uk-UA"/>
        </w:rPr>
        <w:t>зованих варіантів, які слугували підставою для формування наукових підходів до удосконалення лікарського забезпечення пільгових категорій населення промислових регіонів.</w:t>
      </w:r>
    </w:p>
    <w:p w:rsidR="004A36EF" w:rsidRDefault="004A36EF" w:rsidP="004A36EF">
      <w:pPr>
        <w:widowControl w:val="0"/>
        <w:spacing w:line="360" w:lineRule="auto"/>
        <w:ind w:firstLine="567"/>
        <w:jc w:val="both"/>
        <w:rPr>
          <w:lang w:val="uk-UA"/>
        </w:rPr>
      </w:pPr>
      <w:r>
        <w:rPr>
          <w:lang w:val="uk-UA"/>
        </w:rPr>
        <w:t>З метою створення аналітично-нормативної документації на промислове виробництво інф</w:t>
      </w:r>
      <w:r>
        <w:rPr>
          <w:lang w:val="uk-UA"/>
        </w:rPr>
        <w:t>у</w:t>
      </w:r>
      <w:r>
        <w:rPr>
          <w:lang w:val="uk-UA"/>
        </w:rPr>
        <w:t>зійних розчинів “Реополіглюкін” і “Трисіль”, окремо розглядались об’єкти та методи для пров</w:t>
      </w:r>
      <w:r>
        <w:rPr>
          <w:lang w:val="uk-UA"/>
        </w:rPr>
        <w:t>е</w:t>
      </w:r>
      <w:r>
        <w:rPr>
          <w:lang w:val="uk-UA"/>
        </w:rPr>
        <w:t>дення технологічних досліджень. У роботі використовувались лікарські засоби та допоміжні реч</w:t>
      </w:r>
      <w:r>
        <w:rPr>
          <w:lang w:val="uk-UA"/>
        </w:rPr>
        <w:t>о</w:t>
      </w:r>
      <w:r>
        <w:rPr>
          <w:lang w:val="uk-UA"/>
        </w:rPr>
        <w:t>вини: дексран 40, натрію хлорид, калію хлорид, натрію гідрокарбонат, вода очищена, вода для ін’єкцій, пакети місткістю 250 і 500мл з шийкою із полівінілхлориду, вторинна вакуумна упако</w:t>
      </w:r>
      <w:r>
        <w:rPr>
          <w:lang w:val="uk-UA"/>
        </w:rPr>
        <w:t>в</w:t>
      </w:r>
      <w:r>
        <w:rPr>
          <w:lang w:val="uk-UA"/>
        </w:rPr>
        <w:t>ка поліетиленполіамідної марки; методи визначення тотожності, відносної в’язкості, випробування та визначення прозорості, забарвлення, рН, номінального об’єму, механічних домішок, стерильно</w:t>
      </w:r>
      <w:r>
        <w:rPr>
          <w:lang w:val="uk-UA"/>
        </w:rPr>
        <w:t>с</w:t>
      </w:r>
      <w:r>
        <w:rPr>
          <w:lang w:val="uk-UA"/>
        </w:rPr>
        <w:t>ті, пірогенності та ін.</w:t>
      </w:r>
    </w:p>
    <w:p w:rsidR="004A36EF" w:rsidRDefault="004A36EF" w:rsidP="004A36EF">
      <w:pPr>
        <w:widowControl w:val="0"/>
        <w:spacing w:line="360" w:lineRule="auto"/>
        <w:ind w:firstLine="567"/>
        <w:jc w:val="center"/>
        <w:rPr>
          <w:b/>
          <w:bCs/>
          <w:lang w:val="uk-UA"/>
        </w:rPr>
      </w:pPr>
      <w:r>
        <w:rPr>
          <w:b/>
          <w:bCs/>
          <w:lang w:val="uk-UA"/>
        </w:rPr>
        <w:t>Дослідження сучасного стану лікарського забезпечення пільгового контингенту нас</w:t>
      </w:r>
      <w:r>
        <w:rPr>
          <w:b/>
          <w:bCs/>
          <w:lang w:val="uk-UA"/>
        </w:rPr>
        <w:t>е</w:t>
      </w:r>
      <w:r>
        <w:rPr>
          <w:b/>
          <w:bCs/>
          <w:lang w:val="uk-UA"/>
        </w:rPr>
        <w:t>лення у промислових регіонах</w:t>
      </w:r>
    </w:p>
    <w:p w:rsidR="004A36EF" w:rsidRDefault="004A36EF" w:rsidP="004A36EF">
      <w:pPr>
        <w:widowControl w:val="0"/>
        <w:spacing w:line="360" w:lineRule="auto"/>
        <w:ind w:firstLine="567"/>
        <w:jc w:val="both"/>
        <w:rPr>
          <w:lang w:val="uk-UA"/>
        </w:rPr>
      </w:pPr>
      <w:r>
        <w:rPr>
          <w:lang w:val="uk-UA"/>
        </w:rPr>
        <w:t>Встановлено, що за кількістю осіб у промислових регіонах перше місце посідає пільгова гр</w:t>
      </w:r>
      <w:r>
        <w:rPr>
          <w:lang w:val="uk-UA"/>
        </w:rPr>
        <w:t>у</w:t>
      </w:r>
      <w:r>
        <w:rPr>
          <w:lang w:val="uk-UA"/>
        </w:rPr>
        <w:t>па, особам якої у разі амбулаторного лікування лікарські засоби за рецептами лікарів відпускают</w:t>
      </w:r>
      <w:r>
        <w:rPr>
          <w:lang w:val="uk-UA"/>
        </w:rPr>
        <w:t>ь</w:t>
      </w:r>
      <w:r>
        <w:rPr>
          <w:lang w:val="uk-UA"/>
        </w:rPr>
        <w:t xml:space="preserve">ся безоплатно (55,99%), далі – пільгова категорія, яка включає перелік </w:t>
      </w:r>
      <w:r>
        <w:rPr>
          <w:lang w:val="uk-UA"/>
        </w:rPr>
        <w:lastRenderedPageBreak/>
        <w:t>захворювань, у разі амбул</w:t>
      </w:r>
      <w:r>
        <w:rPr>
          <w:lang w:val="uk-UA"/>
        </w:rPr>
        <w:t>а</w:t>
      </w:r>
      <w:r>
        <w:rPr>
          <w:lang w:val="uk-UA"/>
        </w:rPr>
        <w:t>торного лікування яких лікарські засоби відпускаються безоплатно (25,02%) і група населення, у разі амбулаторного лікування яких лікарські засоби відпускаються з оплатою 50% їх вартості (18,99%). У межах першої умовної групи пільгових категорій населення значне місце займають учасники і інваліди війни, прирівняні до них (63,77%), пенсіонери (13,67%), діти віком до 3</w:t>
      </w:r>
      <w:r>
        <w:rPr>
          <w:vertAlign w:val="superscript"/>
          <w:lang w:val="uk-UA"/>
        </w:rPr>
        <w:t>-х</w:t>
      </w:r>
      <w:r>
        <w:rPr>
          <w:lang w:val="uk-UA"/>
        </w:rPr>
        <w:t xml:space="preserve"> р</w:t>
      </w:r>
      <w:r>
        <w:rPr>
          <w:lang w:val="uk-UA"/>
        </w:rPr>
        <w:t>о</w:t>
      </w:r>
      <w:r>
        <w:rPr>
          <w:lang w:val="uk-UA"/>
        </w:rPr>
        <w:t>ків. У розрізі третьої умовної групи за кількістю осіб домінує підгрупа дітей віком від 3</w:t>
      </w:r>
      <w:r>
        <w:rPr>
          <w:vertAlign w:val="superscript"/>
          <w:lang w:val="uk-UA"/>
        </w:rPr>
        <w:t>-х</w:t>
      </w:r>
      <w:r>
        <w:rPr>
          <w:lang w:val="uk-UA"/>
        </w:rPr>
        <w:t xml:space="preserve"> до 6</w:t>
      </w:r>
      <w:r>
        <w:rPr>
          <w:vertAlign w:val="superscript"/>
          <w:lang w:val="uk-UA"/>
        </w:rPr>
        <w:t>-ти</w:t>
      </w:r>
      <w:r>
        <w:rPr>
          <w:lang w:val="uk-UA"/>
        </w:rPr>
        <w:t xml:space="preserve"> років (49,1%), інваліди Ι і ΙΙ групи (42,3%). Окремо розглядалась друга умовна група. Встановл</w:t>
      </w:r>
      <w:r>
        <w:rPr>
          <w:lang w:val="uk-UA"/>
        </w:rPr>
        <w:t>е</w:t>
      </w:r>
      <w:r>
        <w:rPr>
          <w:lang w:val="uk-UA"/>
        </w:rPr>
        <w:t>но, що за кількістю осіб у промислових регіонах перші місця посідають онкохворі (24,15%), хворі ц</w:t>
      </w:r>
      <w:r>
        <w:rPr>
          <w:lang w:val="uk-UA"/>
        </w:rPr>
        <w:t>у</w:t>
      </w:r>
      <w:r>
        <w:rPr>
          <w:lang w:val="uk-UA"/>
        </w:rPr>
        <w:t>кровим і нецукровим діабетом (22,86%), туберкульозом (16,76%), шизофренією і епілепсією (6,29%), психічними хворобами (5,65%), ревматизмом (5,29%).</w:t>
      </w:r>
    </w:p>
    <w:p w:rsidR="004A36EF" w:rsidRDefault="004A36EF" w:rsidP="004A36EF">
      <w:pPr>
        <w:widowControl w:val="0"/>
        <w:spacing w:line="360" w:lineRule="auto"/>
        <w:ind w:firstLine="567"/>
        <w:jc w:val="both"/>
        <w:rPr>
          <w:lang w:val="uk-UA"/>
        </w:rPr>
      </w:pPr>
      <w:r>
        <w:rPr>
          <w:lang w:val="uk-UA"/>
        </w:rPr>
        <w:t>На наступному етапі вивчалась частота їх звернень для надання лікарської допомоги. Вст</w:t>
      </w:r>
      <w:r>
        <w:rPr>
          <w:lang w:val="uk-UA"/>
        </w:rPr>
        <w:t>а</w:t>
      </w:r>
      <w:r>
        <w:rPr>
          <w:lang w:val="uk-UA"/>
        </w:rPr>
        <w:t>новлено, що у більшості це особи з різними захворюваннями, що потерпіли внаслідок аварії на ЧАЕС (коефіцієнт частоти 0,8), учасники і інваліди війни, прирівняні до них (коефіцієнт 0,76), д</w:t>
      </w:r>
      <w:r>
        <w:rPr>
          <w:lang w:val="uk-UA"/>
        </w:rPr>
        <w:t>і</w:t>
      </w:r>
      <w:r>
        <w:rPr>
          <w:lang w:val="uk-UA"/>
        </w:rPr>
        <w:t>ти віком до 3</w:t>
      </w:r>
      <w:r>
        <w:rPr>
          <w:vertAlign w:val="superscript"/>
          <w:lang w:val="uk-UA"/>
        </w:rPr>
        <w:t>-х</w:t>
      </w:r>
      <w:r>
        <w:rPr>
          <w:lang w:val="uk-UA"/>
        </w:rPr>
        <w:t xml:space="preserve"> років (коефіцієнт 0,21) та інші.</w:t>
      </w:r>
    </w:p>
    <w:p w:rsidR="004A36EF" w:rsidRDefault="004A36EF" w:rsidP="004A36EF">
      <w:pPr>
        <w:pStyle w:val="24"/>
        <w:widowControl w:val="0"/>
      </w:pPr>
      <w:r w:rsidRPr="004A36EF">
        <w:rPr>
          <w:lang w:val="uk-UA"/>
        </w:rPr>
        <w:t>Дослідження показали, що між кількістю осіб пільгового контингенту населення промисл</w:t>
      </w:r>
      <w:r w:rsidRPr="004A36EF">
        <w:rPr>
          <w:lang w:val="uk-UA"/>
        </w:rPr>
        <w:t>о</w:t>
      </w:r>
      <w:r w:rsidRPr="004A36EF">
        <w:rPr>
          <w:lang w:val="uk-UA"/>
        </w:rPr>
        <w:t xml:space="preserve">вих регіонів та частотою їх звернення за лікарським забезпеченням прямого зв’язку немає. </w:t>
      </w:r>
      <w:r>
        <w:t>Напр</w:t>
      </w:r>
      <w:r>
        <w:t>и</w:t>
      </w:r>
      <w:r>
        <w:t>клад, пільгова категорія населення, що постраждало внаслідок аварії на ЧАЕС, за кількістю осіб посідає п’яте місце, а за частотою звернення за лікарською допомогою – перше місце (рис. 1).</w:t>
      </w:r>
    </w:p>
    <w:p w:rsidR="004A36EF" w:rsidRDefault="004A36EF" w:rsidP="004A36EF">
      <w:pPr>
        <w:widowControl w:val="0"/>
        <w:spacing w:line="360" w:lineRule="auto"/>
        <w:jc w:val="center"/>
        <w:rPr>
          <w:color w:val="000000"/>
          <w:lang w:val="uk-UA"/>
        </w:rPr>
      </w:pPr>
      <w:r>
        <w:rPr>
          <w:noProof/>
          <w:lang w:eastAsia="ru-RU"/>
        </w:rPr>
        <w:lastRenderedPageBreak/>
        <w:drawing>
          <wp:inline distT="0" distB="0" distL="0" distR="0">
            <wp:extent cx="6434455" cy="3657600"/>
            <wp:effectExtent l="0" t="0" r="0" b="0"/>
            <wp:docPr id="342" name="Диаграмма 3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36EF" w:rsidRPr="004A36EF" w:rsidRDefault="004A36EF" w:rsidP="004A36EF">
      <w:pPr>
        <w:pStyle w:val="afffffff8"/>
        <w:ind w:firstLine="561"/>
        <w:jc w:val="both"/>
        <w:rPr>
          <w:color w:val="000000"/>
          <w:spacing w:val="-2"/>
          <w:lang w:val="uk-UA"/>
        </w:rPr>
      </w:pPr>
      <w:r w:rsidRPr="004A36EF">
        <w:rPr>
          <w:color w:val="000000"/>
          <w:lang w:val="uk-UA"/>
        </w:rPr>
        <w:t>Рис. 1. Співвідношення показників кількості осіб</w:t>
      </w:r>
      <w:r>
        <w:rPr>
          <w:color w:val="000000"/>
        </w:rPr>
        <w:t> </w:t>
      </w:r>
      <w:r w:rsidRPr="004A36EF">
        <w:rPr>
          <w:color w:val="000000"/>
          <w:lang w:val="uk-UA"/>
        </w:rPr>
        <w:t>та частоти їх звернення за лікарським з</w:t>
      </w:r>
      <w:r w:rsidRPr="004A36EF">
        <w:rPr>
          <w:color w:val="000000"/>
          <w:lang w:val="uk-UA"/>
        </w:rPr>
        <w:t>а</w:t>
      </w:r>
      <w:r w:rsidRPr="004A36EF">
        <w:rPr>
          <w:color w:val="000000"/>
          <w:lang w:val="uk-UA"/>
        </w:rPr>
        <w:t xml:space="preserve">безпеченням пільгового контингенту населення промислових регіонів: </w:t>
      </w:r>
      <w:r w:rsidRPr="004A36EF">
        <w:rPr>
          <w:color w:val="000000"/>
          <w:spacing w:val="-2"/>
          <w:lang w:val="uk-UA"/>
        </w:rPr>
        <w:t>1 – особи, яким передбач</w:t>
      </w:r>
      <w:r w:rsidRPr="004A36EF">
        <w:rPr>
          <w:color w:val="000000"/>
          <w:spacing w:val="-2"/>
          <w:lang w:val="uk-UA"/>
        </w:rPr>
        <w:t>е</w:t>
      </w:r>
      <w:r w:rsidRPr="004A36EF">
        <w:rPr>
          <w:color w:val="000000"/>
          <w:spacing w:val="-2"/>
          <w:lang w:val="uk-UA"/>
        </w:rPr>
        <w:t>но безоплатний відпуск ЛЗ, як ветеранам війни;</w:t>
      </w:r>
      <w:r w:rsidRPr="004A36EF">
        <w:rPr>
          <w:color w:val="000000"/>
          <w:lang w:val="uk-UA"/>
        </w:rPr>
        <w:t xml:space="preserve"> </w:t>
      </w:r>
      <w:r w:rsidRPr="004A36EF">
        <w:rPr>
          <w:color w:val="000000"/>
          <w:spacing w:val="-2"/>
          <w:lang w:val="uk-UA"/>
        </w:rPr>
        <w:t>2 – пенсіонери, які одержують пенсію за в</w:t>
      </w:r>
      <w:r w:rsidRPr="004A36EF">
        <w:rPr>
          <w:color w:val="000000"/>
          <w:spacing w:val="-2"/>
          <w:lang w:val="uk-UA"/>
        </w:rPr>
        <w:t>і</w:t>
      </w:r>
      <w:r w:rsidRPr="004A36EF">
        <w:rPr>
          <w:color w:val="000000"/>
          <w:spacing w:val="-2"/>
          <w:lang w:val="uk-UA"/>
        </w:rPr>
        <w:t>ком по інвалідності та у разі втрати годувальника в мінімальних розмірах;</w:t>
      </w:r>
      <w:r w:rsidRPr="004A36EF">
        <w:rPr>
          <w:color w:val="000000"/>
          <w:lang w:val="uk-UA"/>
        </w:rPr>
        <w:t xml:space="preserve"> </w:t>
      </w:r>
      <w:r w:rsidRPr="004A36EF">
        <w:rPr>
          <w:color w:val="000000"/>
          <w:spacing w:val="-2"/>
          <w:lang w:val="uk-UA"/>
        </w:rPr>
        <w:t>3 – діти віком до 3-х р</w:t>
      </w:r>
      <w:r w:rsidRPr="004A36EF">
        <w:rPr>
          <w:color w:val="000000"/>
          <w:spacing w:val="-2"/>
          <w:lang w:val="uk-UA"/>
        </w:rPr>
        <w:t>о</w:t>
      </w:r>
      <w:r w:rsidRPr="004A36EF">
        <w:rPr>
          <w:color w:val="000000"/>
          <w:spacing w:val="-2"/>
          <w:lang w:val="uk-UA"/>
        </w:rPr>
        <w:t>ків; 4 – дівчата-підлітки і жінки з протипоказанням вагітності (засоби контрацепції);</w:t>
      </w:r>
      <w:r w:rsidRPr="004A36EF">
        <w:rPr>
          <w:color w:val="000000"/>
          <w:lang w:val="uk-UA"/>
        </w:rPr>
        <w:t xml:space="preserve"> </w:t>
      </w:r>
      <w:r w:rsidRPr="004A36EF">
        <w:rPr>
          <w:color w:val="000000"/>
          <w:spacing w:val="-2"/>
          <w:lang w:val="uk-UA"/>
        </w:rPr>
        <w:t>5 – особи, пот</w:t>
      </w:r>
      <w:r w:rsidRPr="004A36EF">
        <w:rPr>
          <w:color w:val="000000"/>
          <w:spacing w:val="-2"/>
          <w:lang w:val="uk-UA"/>
        </w:rPr>
        <w:t>е</w:t>
      </w:r>
      <w:r w:rsidRPr="004A36EF">
        <w:rPr>
          <w:color w:val="000000"/>
          <w:spacing w:val="-2"/>
          <w:lang w:val="uk-UA"/>
        </w:rPr>
        <w:t xml:space="preserve">рпілі внаслідок Чорнобильської катастрофи; 6 – діти-інваліди віком до 16 років; </w:t>
      </w:r>
      <w:r w:rsidRPr="004A36EF">
        <w:rPr>
          <w:color w:val="000000"/>
          <w:lang w:val="uk-UA"/>
        </w:rPr>
        <w:t>7 – особи, які мають ос</w:t>
      </w:r>
      <w:r w:rsidRPr="004A36EF">
        <w:rPr>
          <w:color w:val="000000"/>
          <w:lang w:val="uk-UA"/>
        </w:rPr>
        <w:t>о</w:t>
      </w:r>
      <w:r w:rsidRPr="004A36EF">
        <w:rPr>
          <w:color w:val="000000"/>
          <w:lang w:val="uk-UA"/>
        </w:rPr>
        <w:t>бливі заслуги перед батьківщиною; 8 – діти віком від 3-х до 6-ти років; 9 – інваліди І і ІІ групи внаслідок трудового каліцтва, професійного або загального захворювання; 10 – інваліди д</w:t>
      </w:r>
      <w:r w:rsidRPr="004A36EF">
        <w:rPr>
          <w:color w:val="000000"/>
          <w:lang w:val="uk-UA"/>
        </w:rPr>
        <w:t>и</w:t>
      </w:r>
      <w:r w:rsidRPr="004A36EF">
        <w:rPr>
          <w:color w:val="000000"/>
          <w:lang w:val="uk-UA"/>
        </w:rPr>
        <w:t xml:space="preserve">тинства І і ІІ групи; 11 – особи, нагороджені знаком “Почесний донор України” та “Почесний донор СРСР”; </w:t>
      </w:r>
      <w:r w:rsidRPr="004A36EF">
        <w:rPr>
          <w:color w:val="000000"/>
          <w:spacing w:val="-2"/>
          <w:lang w:val="uk-UA"/>
        </w:rPr>
        <w:t>12 – реабілітовані особи, які стали інвалідами внаслідок репресій або є пенсіонер</w:t>
      </w:r>
      <w:r w:rsidRPr="004A36EF">
        <w:rPr>
          <w:color w:val="000000"/>
          <w:spacing w:val="-2"/>
          <w:lang w:val="uk-UA"/>
        </w:rPr>
        <w:t>а</w:t>
      </w:r>
      <w:r w:rsidRPr="004A36EF">
        <w:rPr>
          <w:color w:val="000000"/>
          <w:spacing w:val="-2"/>
          <w:lang w:val="uk-UA"/>
        </w:rPr>
        <w:t>ми.</w:t>
      </w:r>
    </w:p>
    <w:p w:rsidR="004A36EF" w:rsidRDefault="004A36EF" w:rsidP="004A36EF">
      <w:pPr>
        <w:pStyle w:val="afffffff8"/>
        <w:spacing w:before="240"/>
        <w:ind w:firstLine="561"/>
        <w:jc w:val="both"/>
        <w:rPr>
          <w:color w:val="000000"/>
        </w:rPr>
      </w:pPr>
      <w:r w:rsidRPr="004A36EF">
        <w:rPr>
          <w:color w:val="000000"/>
          <w:lang w:val="uk-UA"/>
        </w:rPr>
        <w:t>Подальше вивчення частоти лікарського обслуговування пільгових категорій населення за захворюваннями показало, що із 35 захворювань доцільно виділити 19, особи з якими найчастіше звертаються за лікарськими засобами (біля 60% від усіх захворювань). Серед них онкозахвор</w:t>
      </w:r>
      <w:r w:rsidRPr="004A36EF">
        <w:rPr>
          <w:color w:val="000000"/>
          <w:lang w:val="uk-UA"/>
        </w:rPr>
        <w:t>ю</w:t>
      </w:r>
      <w:r w:rsidRPr="004A36EF">
        <w:rPr>
          <w:color w:val="000000"/>
          <w:lang w:val="uk-UA"/>
        </w:rPr>
        <w:t xml:space="preserve">вання (коефіцієнт частоти 0,63), діабет (0,60), бронхіальна астма (0,50), шизофренія і епілепсія (0,40), психічні розлади (0,37) та ін. </w:t>
      </w:r>
      <w:r>
        <w:rPr>
          <w:color w:val="000000"/>
        </w:rPr>
        <w:t>(рис. 2).</w:t>
      </w:r>
    </w:p>
    <w:p w:rsidR="004A36EF" w:rsidRDefault="004A36EF" w:rsidP="004A36EF">
      <w:pPr>
        <w:pStyle w:val="afffffff8"/>
      </w:pPr>
      <w:r>
        <w:rPr>
          <w:noProof/>
          <w:lang w:eastAsia="ru-RU"/>
        </w:rPr>
        <w:lastRenderedPageBreak/>
        <w:drawing>
          <wp:inline distT="0" distB="0" distL="0" distR="0">
            <wp:extent cx="6445250" cy="4359910"/>
            <wp:effectExtent l="0" t="0" r="0" b="0"/>
            <wp:docPr id="341" name="Диаграмма 3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36EF" w:rsidRDefault="004A36EF" w:rsidP="004A36EF">
      <w:pPr>
        <w:pStyle w:val="afffffff8"/>
        <w:ind w:firstLine="567"/>
        <w:jc w:val="both"/>
        <w:rPr>
          <w:color w:val="000000"/>
        </w:rPr>
      </w:pPr>
      <w:r>
        <w:rPr>
          <w:color w:val="000000"/>
        </w:rPr>
        <w:t>Рис. 2. Співвідношення показників кількості осіб та частоти їх звернення за лікарським з</w:t>
      </w:r>
      <w:r>
        <w:rPr>
          <w:color w:val="000000"/>
        </w:rPr>
        <w:t>а</w:t>
      </w:r>
      <w:r>
        <w:rPr>
          <w:color w:val="000000"/>
        </w:rPr>
        <w:t>безпеченням пільгового контингенту населення промислових регіонів у межах окремих захвор</w:t>
      </w:r>
      <w:r>
        <w:rPr>
          <w:color w:val="000000"/>
        </w:rPr>
        <w:t>ю</w:t>
      </w:r>
      <w:r>
        <w:rPr>
          <w:color w:val="000000"/>
        </w:rPr>
        <w:t>вань: 1 – онкологічні; 2 – діабет; 3 – бронхіальна астма; 4 – шизофренія та епілепсія; 5 – психічні захворювання; 6 – гематологічні захворювання; 7 – гепатоцеребральна дистрофія; 8 – мі</w:t>
      </w:r>
      <w:r>
        <w:rPr>
          <w:color w:val="000000"/>
        </w:rPr>
        <w:t>а</w:t>
      </w:r>
      <w:r>
        <w:rPr>
          <w:color w:val="000000"/>
        </w:rPr>
        <w:t>стенія; 9 – хвороба Паркінсона; 10 – ревматоїдний артрит; 11 – дитячий церебральний параліч; 12 – систе</w:t>
      </w:r>
      <w:r>
        <w:rPr>
          <w:color w:val="000000"/>
        </w:rPr>
        <w:t>м</w:t>
      </w:r>
      <w:r>
        <w:rPr>
          <w:color w:val="000000"/>
        </w:rPr>
        <w:t>ні тяжкі захворювання шкіри; 13 – стан після операції протезування клапанів серця; 14 – інфаркт міокарда; 15 – стан після пересадки органів, тканин; 16 – ревматизм; 17 – туберкульоз; 18 – сиф</w:t>
      </w:r>
      <w:r>
        <w:rPr>
          <w:color w:val="000000"/>
        </w:rPr>
        <w:t>і</w:t>
      </w:r>
      <w:r>
        <w:rPr>
          <w:color w:val="000000"/>
        </w:rPr>
        <w:t>ліс; 19 – системний гострий вовчак.</w:t>
      </w:r>
    </w:p>
    <w:p w:rsidR="004A36EF" w:rsidRDefault="004A36EF" w:rsidP="004A36EF">
      <w:pPr>
        <w:pStyle w:val="24"/>
        <w:widowControl w:val="0"/>
        <w:spacing w:before="120"/>
      </w:pPr>
      <w:r>
        <w:t>Встановлено, що важливою умовою лікарського забезпечення пільгових категорій населення промислових регіонів є наявність певного переліку лікарських засобів за фармакотерапевтичними та іншими групами. Сучасний вітчизняний фармацевтичний ринок нараховує більше 7 тис. н</w:t>
      </w:r>
      <w:r>
        <w:t>а</w:t>
      </w:r>
      <w:r>
        <w:t>йменувань лікарських засобів, серед яких є більше доступні за ціною, більше або менше ефекти</w:t>
      </w:r>
      <w:r>
        <w:t>в</w:t>
      </w:r>
      <w:r>
        <w:t xml:space="preserve">ні, вітчизняного і закордонного виробництва. Тому у кожному конкретному випадку організації і фінансування </w:t>
      </w:r>
      <w:r>
        <w:lastRenderedPageBreak/>
        <w:t>лікарського забезпечення пільгових категорій населення це важливо враховувати. Встановлено, що найчастіше використовується для лікарського забезпечення пільгових категорій населення промислових регіонів найменування 41 фармакотерапевтичної та іншої групи, в тому числі анальгетики (коефіцієнт частоти 0,70), гіпотензивні (0, 63), транквілізатори (0,58), антибі</w:t>
      </w:r>
      <w:r>
        <w:t>о</w:t>
      </w:r>
      <w:r>
        <w:t>тики (0,57), спазмолітичні (0,56), інфузійні розчини (0,41).</w:t>
      </w:r>
    </w:p>
    <w:p w:rsidR="004A36EF" w:rsidRDefault="004A36EF" w:rsidP="004A36EF">
      <w:pPr>
        <w:widowControl w:val="0"/>
        <w:spacing w:line="360" w:lineRule="auto"/>
        <w:ind w:firstLine="567"/>
        <w:jc w:val="both"/>
        <w:rPr>
          <w:lang w:val="uk-UA"/>
        </w:rPr>
      </w:pPr>
      <w:r>
        <w:rPr>
          <w:lang w:val="uk-UA"/>
        </w:rPr>
        <w:t>Подальші дослідження показали, що в організації лікарського забезпечення пільгових кат</w:t>
      </w:r>
      <w:r>
        <w:rPr>
          <w:lang w:val="uk-UA"/>
        </w:rPr>
        <w:t>е</w:t>
      </w:r>
      <w:r>
        <w:rPr>
          <w:lang w:val="uk-UA"/>
        </w:rPr>
        <w:t>горій населення промислових регіонів існують проблеми організаційного характеру (в кожному випадку надання лікарської допомоги), пов’язані з розподілом коштів та з оплатою рахунків за в</w:t>
      </w:r>
      <w:r>
        <w:rPr>
          <w:lang w:val="uk-UA"/>
        </w:rPr>
        <w:t>і</w:t>
      </w:r>
      <w:r>
        <w:rPr>
          <w:lang w:val="uk-UA"/>
        </w:rPr>
        <w:t>дпущені лікарські засоби. Тому у 62% випадків ці проблеми торкаються конкретних пільгових к</w:t>
      </w:r>
      <w:r>
        <w:rPr>
          <w:lang w:val="uk-UA"/>
        </w:rPr>
        <w:t>а</w:t>
      </w:r>
      <w:r>
        <w:rPr>
          <w:lang w:val="uk-UA"/>
        </w:rPr>
        <w:t>тегорій: потерпілих внаслідок катастрофи на ЧАЕС (у 8% випадків їх обслуговува</w:t>
      </w:r>
      <w:r>
        <w:rPr>
          <w:lang w:val="uk-UA"/>
        </w:rPr>
        <w:t>н</w:t>
      </w:r>
      <w:r>
        <w:rPr>
          <w:lang w:val="uk-UA"/>
        </w:rPr>
        <w:t>ня), дітей до 3</w:t>
      </w:r>
      <w:r>
        <w:rPr>
          <w:vertAlign w:val="superscript"/>
          <w:lang w:val="uk-UA"/>
        </w:rPr>
        <w:t>-х</w:t>
      </w:r>
      <w:r>
        <w:rPr>
          <w:lang w:val="uk-UA"/>
        </w:rPr>
        <w:t xml:space="preserve"> років (8 % випадків), інвалідів і ветеранів війни, прирівняних до них (5% випадків), хворих псих</w:t>
      </w:r>
      <w:r>
        <w:rPr>
          <w:lang w:val="uk-UA"/>
        </w:rPr>
        <w:t>і</w:t>
      </w:r>
      <w:r>
        <w:rPr>
          <w:lang w:val="uk-UA"/>
        </w:rPr>
        <w:t>чними розладами (3% випадків) та інших. Головною причиною вказаних проблем є відсу</w:t>
      </w:r>
      <w:r>
        <w:rPr>
          <w:lang w:val="uk-UA"/>
        </w:rPr>
        <w:t>т</w:t>
      </w:r>
      <w:r>
        <w:rPr>
          <w:lang w:val="uk-UA"/>
        </w:rPr>
        <w:t>ність нормуючих механізмів, які б дозволяли правильно планувати і контролювати викори</w:t>
      </w:r>
      <w:r>
        <w:rPr>
          <w:lang w:val="uk-UA"/>
        </w:rPr>
        <w:t>с</w:t>
      </w:r>
      <w:r>
        <w:rPr>
          <w:lang w:val="uk-UA"/>
        </w:rPr>
        <w:t>тання таких організаційних та фінансових дій на регіональному рівні.</w:t>
      </w:r>
    </w:p>
    <w:p w:rsidR="004A36EF" w:rsidRDefault="004A36EF" w:rsidP="004A36EF">
      <w:pPr>
        <w:pStyle w:val="24"/>
        <w:widowControl w:val="0"/>
      </w:pPr>
      <w:r w:rsidRPr="004A36EF">
        <w:rPr>
          <w:lang w:val="uk-UA"/>
        </w:rPr>
        <w:t>Поглиблене вивчення стану фінансування лікарського забезпечення пільгових категорій н</w:t>
      </w:r>
      <w:r w:rsidRPr="004A36EF">
        <w:rPr>
          <w:lang w:val="uk-UA"/>
        </w:rPr>
        <w:t>а</w:t>
      </w:r>
      <w:r w:rsidRPr="004A36EF">
        <w:rPr>
          <w:lang w:val="uk-UA"/>
        </w:rPr>
        <w:t xml:space="preserve">селення промислових регіонів показало, що його показники мають значну варіабельність і тільки у 32,3 % випадків мають тенденцію до зростання. </w:t>
      </w:r>
      <w:r>
        <w:t>Такі ж тенденції спостерігаються і по відношенню окр</w:t>
      </w:r>
      <w:r>
        <w:t>е</w:t>
      </w:r>
      <w:r>
        <w:t>мих пільгових категорій населення (рис. 3).</w:t>
      </w:r>
    </w:p>
    <w:p w:rsidR="004A36EF" w:rsidRDefault="004A36EF" w:rsidP="004A36EF">
      <w:pPr>
        <w:widowControl w:val="0"/>
        <w:spacing w:after="120" w:line="360" w:lineRule="auto"/>
        <w:ind w:firstLine="600"/>
        <w:rPr>
          <w:color w:val="000000"/>
          <w:lang w:val="uk-UA"/>
        </w:rPr>
      </w:pPr>
      <w:r>
        <w:rPr>
          <w:noProof/>
          <w:lang w:eastAsia="ru-RU"/>
        </w:rPr>
        <w:lastRenderedPageBreak/>
        <w:drawing>
          <wp:inline distT="0" distB="0" distL="0" distR="0">
            <wp:extent cx="6724015" cy="3557270"/>
            <wp:effectExtent l="0" t="0" r="0" b="0"/>
            <wp:docPr id="340" name="Диаграмма 3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color w:val="000000"/>
          <w:lang w:val="uk-UA"/>
        </w:rPr>
        <w:t xml:space="preserve"> Рис. 3. Співвідношення питомої ваги осіб пільгових категорій населення та витрат на їх л</w:t>
      </w:r>
      <w:r>
        <w:rPr>
          <w:color w:val="000000"/>
          <w:lang w:val="uk-UA"/>
        </w:rPr>
        <w:t>і</w:t>
      </w:r>
      <w:r>
        <w:rPr>
          <w:color w:val="000000"/>
          <w:lang w:val="uk-UA"/>
        </w:rPr>
        <w:t>карське забезпечення у промислових регіонах: 1 – інваліди, учасники війни та прирівняні до них; 2 – діти віком від 3-х до 6-ти років; 3 – діти віком до 3-х років; 4 – хворі шизофренією, епілепсією та ін. психічними хворобами; 5 – хворі цукровим і нецукровим діабетом; 6 – онкологічні хворі; 7 – інваліди дитинства І і ІІ групи; 8 – пенсіонери з пенсією мінімальних розмірів; 9 – хворі туберк</w:t>
      </w:r>
      <w:r>
        <w:rPr>
          <w:color w:val="000000"/>
          <w:lang w:val="uk-UA"/>
        </w:rPr>
        <w:t>у</w:t>
      </w:r>
      <w:r>
        <w:rPr>
          <w:color w:val="000000"/>
          <w:lang w:val="uk-UA"/>
        </w:rPr>
        <w:t>льозом; 10 – ліквідатори аварії на ЧАЄС; 11 – інші групи.</w:t>
      </w:r>
    </w:p>
    <w:p w:rsidR="004A36EF" w:rsidRDefault="004A36EF" w:rsidP="004A36EF">
      <w:pPr>
        <w:pStyle w:val="afffffff8"/>
        <w:ind w:firstLine="567"/>
        <w:jc w:val="both"/>
        <w:rPr>
          <w:color w:val="000000"/>
        </w:rPr>
      </w:pPr>
      <w:r w:rsidRPr="004A36EF">
        <w:rPr>
          <w:color w:val="000000"/>
          <w:lang w:val="uk-UA"/>
        </w:rPr>
        <w:t xml:space="preserve">Отримані результати підтверджені суцільною вибіркою осіб пільгових категорій населення на прикладі Донецької області. </w:t>
      </w:r>
      <w:r>
        <w:rPr>
          <w:color w:val="000000"/>
        </w:rPr>
        <w:t>Додатково встановлено, що асигнування у розрахунку на одну особу пільгового контингенту населення окремих територій промислового регіону також колив</w:t>
      </w:r>
      <w:r>
        <w:rPr>
          <w:color w:val="000000"/>
        </w:rPr>
        <w:t>а</w:t>
      </w:r>
      <w:r>
        <w:rPr>
          <w:color w:val="000000"/>
        </w:rPr>
        <w:t>ються, що вказує на відсутність механізму формування і розподілу коштів.</w:t>
      </w:r>
    </w:p>
    <w:p w:rsidR="004A36EF" w:rsidRDefault="004A36EF" w:rsidP="004A36EF">
      <w:pPr>
        <w:pStyle w:val="afffffff8"/>
        <w:ind w:firstLine="567"/>
        <w:jc w:val="both"/>
        <w:rPr>
          <w:color w:val="000000"/>
        </w:rPr>
      </w:pPr>
      <w:r>
        <w:rPr>
          <w:color w:val="000000"/>
        </w:rPr>
        <w:t>Таким чином, організаційно-економічні проблеми лікарського забезпечення пільгових кат</w:t>
      </w:r>
      <w:r>
        <w:rPr>
          <w:color w:val="000000"/>
        </w:rPr>
        <w:t>е</w:t>
      </w:r>
      <w:r>
        <w:rPr>
          <w:color w:val="000000"/>
        </w:rPr>
        <w:t>горій населення промислових регіонів в умовах теперішнього стану ринку можуть бути вирішені шляхом введення фармакоекономічних стандартів (ефективність більше 60%), обов’язкових ро</w:t>
      </w:r>
      <w:r>
        <w:rPr>
          <w:color w:val="000000"/>
        </w:rPr>
        <w:t>з</w:t>
      </w:r>
      <w:r>
        <w:rPr>
          <w:color w:val="000000"/>
        </w:rPr>
        <w:t>рахунків з аптечними установами за пільгове надання лікарських засобів (ефективність до 30,6%), збільшення фінансування на придбання лікарських засобів (ефективність до 55%), нормування асортименту лікарських засобів для забезпечення пільгових категорій населення (ефективність до 20%), а також розширення вітчизняного виробництва ліків. Отримані результати окреслили н</w:t>
      </w:r>
      <w:r>
        <w:rPr>
          <w:color w:val="000000"/>
        </w:rPr>
        <w:t>а</w:t>
      </w:r>
      <w:r>
        <w:rPr>
          <w:color w:val="000000"/>
        </w:rPr>
        <w:t>прямки подальших досліджень.</w:t>
      </w:r>
    </w:p>
    <w:p w:rsidR="004A36EF" w:rsidRDefault="004A36EF" w:rsidP="004A36EF">
      <w:pPr>
        <w:pStyle w:val="afffffff8"/>
        <w:ind w:firstLine="567"/>
        <w:rPr>
          <w:b/>
          <w:bCs/>
          <w:caps/>
          <w:color w:val="000000"/>
        </w:rPr>
      </w:pPr>
      <w:r>
        <w:rPr>
          <w:b/>
          <w:bCs/>
          <w:color w:val="000000"/>
        </w:rPr>
        <w:t>Організаційно-економічні напрямки удосконалення лікарського забезпечення пільг</w:t>
      </w:r>
      <w:r>
        <w:rPr>
          <w:b/>
          <w:bCs/>
          <w:color w:val="000000"/>
        </w:rPr>
        <w:t>о</w:t>
      </w:r>
      <w:r>
        <w:rPr>
          <w:b/>
          <w:bCs/>
          <w:color w:val="000000"/>
        </w:rPr>
        <w:t>вих категорій населення промислових регіонів</w:t>
      </w:r>
    </w:p>
    <w:p w:rsidR="004A36EF" w:rsidRDefault="004A36EF" w:rsidP="004A36EF">
      <w:pPr>
        <w:pStyle w:val="afffffff8"/>
        <w:spacing w:line="348" w:lineRule="auto"/>
        <w:ind w:firstLine="567"/>
        <w:jc w:val="both"/>
        <w:rPr>
          <w:color w:val="000000"/>
        </w:rPr>
      </w:pPr>
      <w:r>
        <w:rPr>
          <w:color w:val="000000"/>
        </w:rPr>
        <w:lastRenderedPageBreak/>
        <w:t>Попередні дослідження показали, що в забезпеченні пільгових категорій населення проми</w:t>
      </w:r>
      <w:r>
        <w:rPr>
          <w:color w:val="000000"/>
        </w:rPr>
        <w:t>с</w:t>
      </w:r>
      <w:r>
        <w:rPr>
          <w:color w:val="000000"/>
        </w:rPr>
        <w:t>лових регіонів придбання ліків є досить збитковою складовою в системі охорони здоров’я. Пр</w:t>
      </w:r>
      <w:r>
        <w:rPr>
          <w:color w:val="000000"/>
        </w:rPr>
        <w:t>о</w:t>
      </w:r>
      <w:r>
        <w:rPr>
          <w:color w:val="000000"/>
        </w:rPr>
        <w:t>блема придбання лікарських засобів загострюється ще і тим, що регіональні фонди для фінанс</w:t>
      </w:r>
      <w:r>
        <w:rPr>
          <w:color w:val="000000"/>
        </w:rPr>
        <w:t>у</w:t>
      </w:r>
      <w:r>
        <w:rPr>
          <w:color w:val="000000"/>
        </w:rPr>
        <w:t>вання обмежені. Вирішенням проблеми може бути раціональний вибір і використання за призн</w:t>
      </w:r>
      <w:r>
        <w:rPr>
          <w:color w:val="000000"/>
        </w:rPr>
        <w:t>а</w:t>
      </w:r>
      <w:r>
        <w:rPr>
          <w:color w:val="000000"/>
        </w:rPr>
        <w:t>ченням лікарських засобів на підставі доказової медицини через впровадження формулярної си</w:t>
      </w:r>
      <w:r>
        <w:rPr>
          <w:color w:val="000000"/>
        </w:rPr>
        <w:t>с</w:t>
      </w:r>
      <w:r>
        <w:rPr>
          <w:color w:val="000000"/>
        </w:rPr>
        <w:t>теми чи стандартів. Це обумовило наші подальші дослідження щодо удосконалення лікарського забезпечення пільгових категорій населення промислових регіонів шляхом створення його стандартизованих варіа</w:t>
      </w:r>
      <w:r>
        <w:rPr>
          <w:color w:val="000000"/>
        </w:rPr>
        <w:t>н</w:t>
      </w:r>
      <w:r>
        <w:rPr>
          <w:color w:val="000000"/>
        </w:rPr>
        <w:t>тів.</w:t>
      </w:r>
    </w:p>
    <w:p w:rsidR="004A36EF" w:rsidRDefault="004A36EF" w:rsidP="004A36EF">
      <w:pPr>
        <w:pStyle w:val="afffffff8"/>
        <w:spacing w:line="348" w:lineRule="auto"/>
        <w:ind w:firstLine="567"/>
        <w:jc w:val="both"/>
        <w:rPr>
          <w:color w:val="000000"/>
        </w:rPr>
      </w:pPr>
      <w:r>
        <w:rPr>
          <w:color w:val="000000"/>
        </w:rPr>
        <w:t>В їх основу покладені результати експертних оцінок із залученням як експертів провідних медичних і фармацевтичних фахівців з кожного напрямку. Головне завдання методу експертних оцінок було в тому, щоб чітко оцінити фармакотерапевтичну дію лікарських засобів при забезп</w:t>
      </w:r>
      <w:r>
        <w:rPr>
          <w:color w:val="000000"/>
        </w:rPr>
        <w:t>е</w:t>
      </w:r>
      <w:r>
        <w:rPr>
          <w:color w:val="000000"/>
        </w:rPr>
        <w:t>ченні пільгових категорій населення промислових регіонів, і потім на їх основі формувати станд</w:t>
      </w:r>
      <w:r>
        <w:rPr>
          <w:color w:val="000000"/>
        </w:rPr>
        <w:t>а</w:t>
      </w:r>
      <w:r>
        <w:rPr>
          <w:color w:val="000000"/>
        </w:rPr>
        <w:t>ртизовані варіанти лікування. Враховуючи вплив додаткових чинників, наприклад, цінових, доп</w:t>
      </w:r>
      <w:r>
        <w:rPr>
          <w:color w:val="000000"/>
        </w:rPr>
        <w:t>у</w:t>
      </w:r>
      <w:r>
        <w:rPr>
          <w:color w:val="000000"/>
        </w:rPr>
        <w:t>скалась певна гнучкість особистих наукових результатів, яка полягала у створенні декількох ста</w:t>
      </w:r>
      <w:r>
        <w:rPr>
          <w:color w:val="000000"/>
        </w:rPr>
        <w:t>н</w:t>
      </w:r>
      <w:r>
        <w:rPr>
          <w:color w:val="000000"/>
        </w:rPr>
        <w:t>дартизованих варіантів лікарського забезпечення кожної пільгової категорії населення. Тобто д</w:t>
      </w:r>
      <w:r>
        <w:rPr>
          <w:color w:val="000000"/>
        </w:rPr>
        <w:t>о</w:t>
      </w:r>
      <w:r>
        <w:rPr>
          <w:color w:val="000000"/>
        </w:rPr>
        <w:t>пускалась можливість вибору стандартизованого варіанту з урахуванням індивідуальних особл</w:t>
      </w:r>
      <w:r>
        <w:rPr>
          <w:color w:val="000000"/>
        </w:rPr>
        <w:t>и</w:t>
      </w:r>
      <w:r>
        <w:rPr>
          <w:color w:val="000000"/>
        </w:rPr>
        <w:t>востей хворого і фінансових можливостей регіональних закладів охорони здоров’я, лікув</w:t>
      </w:r>
      <w:r>
        <w:rPr>
          <w:color w:val="000000"/>
        </w:rPr>
        <w:t>а</w:t>
      </w:r>
      <w:r>
        <w:rPr>
          <w:color w:val="000000"/>
        </w:rPr>
        <w:t>льно-профілактичної установи. Кожний із стандартизованих варіантів підлягав порівняльній фармако</w:t>
      </w:r>
      <w:r>
        <w:rPr>
          <w:color w:val="000000"/>
        </w:rPr>
        <w:t>е</w:t>
      </w:r>
      <w:r>
        <w:rPr>
          <w:color w:val="000000"/>
        </w:rPr>
        <w:t>кономічній оцінці шляхом співставлення терапевтичної дії лікарських засобів у різних поє</w:t>
      </w:r>
      <w:r>
        <w:rPr>
          <w:color w:val="000000"/>
        </w:rPr>
        <w:t>д</w:t>
      </w:r>
      <w:r>
        <w:rPr>
          <w:color w:val="000000"/>
        </w:rPr>
        <w:t>наннях між собою та витратами на їх придбання. Додатково лікарські засоби, які увійшли до стандартиз</w:t>
      </w:r>
      <w:r>
        <w:rPr>
          <w:color w:val="000000"/>
        </w:rPr>
        <w:t>о</w:t>
      </w:r>
      <w:r>
        <w:rPr>
          <w:color w:val="000000"/>
        </w:rPr>
        <w:t>ваних варіантів, аналізувались на відповідність нормативним вимогам до їх обігу на вітч</w:t>
      </w:r>
      <w:r>
        <w:rPr>
          <w:color w:val="000000"/>
        </w:rPr>
        <w:t>и</w:t>
      </w:r>
      <w:r>
        <w:rPr>
          <w:color w:val="000000"/>
        </w:rPr>
        <w:t>зняному фармацевтичному ринку.</w:t>
      </w:r>
    </w:p>
    <w:p w:rsidR="004A36EF" w:rsidRDefault="004A36EF" w:rsidP="004A36EF">
      <w:pPr>
        <w:pStyle w:val="afffffff8"/>
        <w:ind w:firstLine="567"/>
        <w:jc w:val="both"/>
        <w:rPr>
          <w:color w:val="000000"/>
        </w:rPr>
      </w:pPr>
      <w:r>
        <w:rPr>
          <w:color w:val="000000"/>
        </w:rPr>
        <w:t>За таких умов обґрунтовано 16 стандартизованих варіантів лікарського забезпечення пільг</w:t>
      </w:r>
      <w:r>
        <w:rPr>
          <w:color w:val="000000"/>
        </w:rPr>
        <w:t>о</w:t>
      </w:r>
      <w:r>
        <w:rPr>
          <w:color w:val="000000"/>
        </w:rPr>
        <w:t>вої категорії населення промислових регіонів – інвалідів, учасників війни та прирівняних до них з хворобою обструктивний бронхіт (9 варіантів) і енцефалопатія (7 варіантів).</w:t>
      </w:r>
    </w:p>
    <w:p w:rsidR="004A36EF" w:rsidRDefault="004A36EF" w:rsidP="004A36EF">
      <w:pPr>
        <w:pStyle w:val="afffffff8"/>
        <w:ind w:firstLine="567"/>
        <w:jc w:val="both"/>
        <w:rPr>
          <w:color w:val="000000"/>
        </w:rPr>
      </w:pPr>
      <w:r>
        <w:rPr>
          <w:color w:val="000000"/>
        </w:rPr>
        <w:lastRenderedPageBreak/>
        <w:t>Встановлено, що у випадку обструктивного бронхіту можна використати стандартизовані варіанти за вартістю на курс лікування від 2,73 до 29,35 у. о., що дозволяє дотримуватись курсу лікування терміном 14, 20 і 24 дні. Для прикладу у табл. 1 надаються стандартизовані варіанти з терміном лікування 14 днів, які мають різне поєднання лікарських засобів (№ п/п 2, 3, 4).</w:t>
      </w:r>
    </w:p>
    <w:p w:rsidR="004A36EF" w:rsidRDefault="004A36EF" w:rsidP="004A36EF">
      <w:pPr>
        <w:pStyle w:val="afffffff8"/>
        <w:ind w:firstLine="567"/>
        <w:jc w:val="both"/>
        <w:rPr>
          <w:color w:val="000000"/>
        </w:rPr>
      </w:pPr>
      <w:r>
        <w:rPr>
          <w:color w:val="000000"/>
        </w:rPr>
        <w:t>Стосовно захворювання на енцефалопатію, то створені стандартизовані варіанти базуються на лікуванні терміном 14, 20 і 24 дні і витратах на придбання ліків в межах від 2,16 до 21,12 у. о.</w:t>
      </w:r>
    </w:p>
    <w:p w:rsidR="004A36EF" w:rsidRDefault="004A36EF" w:rsidP="004A36EF">
      <w:pPr>
        <w:pStyle w:val="afffffff8"/>
        <w:spacing w:before="120"/>
        <w:ind w:firstLine="567"/>
        <w:jc w:val="right"/>
        <w:rPr>
          <w:color w:val="000000"/>
        </w:rPr>
      </w:pPr>
      <w:r>
        <w:rPr>
          <w:color w:val="000000"/>
        </w:rPr>
        <w:t>Таблиця 1</w:t>
      </w:r>
    </w:p>
    <w:p w:rsidR="004A36EF" w:rsidRDefault="004A36EF" w:rsidP="004A36EF">
      <w:pPr>
        <w:pStyle w:val="afffffff8"/>
      </w:pPr>
      <w:r>
        <w:t>Стандартизовані варіанти лікарського забезпечення пільгової категорії населення</w:t>
      </w:r>
      <w:r>
        <w:br/>
        <w:t>промислових регіонів – учасники й інваліди війни, прирівняні до них</w:t>
      </w:r>
    </w:p>
    <w:p w:rsidR="004A36EF" w:rsidRDefault="004A36EF" w:rsidP="009D5D0C">
      <w:pPr>
        <w:widowControl w:val="0"/>
        <w:numPr>
          <w:ilvl w:val="0"/>
          <w:numId w:val="44"/>
        </w:numPr>
        <w:tabs>
          <w:tab w:val="clear" w:pos="927"/>
          <w:tab w:val="num" w:pos="2835"/>
        </w:tabs>
        <w:suppressAutoHyphens w:val="0"/>
        <w:spacing w:line="336" w:lineRule="auto"/>
        <w:ind w:left="2835" w:hanging="142"/>
        <w:jc w:val="both"/>
        <w:rPr>
          <w:lang w:val="uk-UA"/>
        </w:rPr>
      </w:pPr>
      <w:r>
        <w:rPr>
          <w:lang w:val="uk-UA"/>
        </w:rPr>
        <w:t>хвороба: обструктивний бронхіт;</w:t>
      </w:r>
    </w:p>
    <w:p w:rsidR="004A36EF" w:rsidRDefault="004A36EF" w:rsidP="009D5D0C">
      <w:pPr>
        <w:widowControl w:val="0"/>
        <w:numPr>
          <w:ilvl w:val="0"/>
          <w:numId w:val="44"/>
        </w:numPr>
        <w:tabs>
          <w:tab w:val="clear" w:pos="927"/>
          <w:tab w:val="num" w:pos="2835"/>
        </w:tabs>
        <w:suppressAutoHyphens w:val="0"/>
        <w:spacing w:line="336" w:lineRule="auto"/>
        <w:ind w:left="2835" w:hanging="142"/>
        <w:jc w:val="both"/>
        <w:rPr>
          <w:lang w:val="uk-UA"/>
        </w:rPr>
      </w:pPr>
      <w:r>
        <w:rPr>
          <w:lang w:val="uk-UA"/>
        </w:rPr>
        <w:t>термін лікування 14 днів.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7401"/>
        <w:gridCol w:w="2266"/>
      </w:tblGrid>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60" w:after="60"/>
              <w:jc w:val="center"/>
              <w:rPr>
                <w:lang w:val="uk-UA"/>
              </w:rPr>
            </w:pPr>
            <w:r>
              <w:rPr>
                <w:lang w:val="uk-UA"/>
              </w:rPr>
              <w:t>№</w:t>
            </w:r>
            <w:r>
              <w:rPr>
                <w:lang w:val="uk-UA"/>
              </w:rPr>
              <w:br/>
              <w:t>п/п</w:t>
            </w:r>
          </w:p>
        </w:tc>
        <w:tc>
          <w:tcPr>
            <w:tcW w:w="7401"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60" w:after="60"/>
              <w:jc w:val="center"/>
              <w:rPr>
                <w:lang w:val="uk-UA"/>
              </w:rPr>
            </w:pPr>
            <w:r>
              <w:rPr>
                <w:lang w:val="uk-UA"/>
              </w:rPr>
              <w:t>Лікарські засоби</w:t>
            </w:r>
          </w:p>
        </w:tc>
        <w:tc>
          <w:tcPr>
            <w:tcW w:w="2266"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60" w:after="60"/>
              <w:jc w:val="center"/>
              <w:rPr>
                <w:lang w:val="uk-UA"/>
              </w:rPr>
            </w:pPr>
            <w:r>
              <w:rPr>
                <w:lang w:val="uk-UA"/>
              </w:rPr>
              <w:t>Потреба на курс</w:t>
            </w:r>
            <w:r>
              <w:rPr>
                <w:lang w:val="uk-UA"/>
              </w:rPr>
              <w:br/>
              <w:t>лікування</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pStyle w:val="30"/>
              <w:keepNext w:val="0"/>
              <w:spacing w:before="60" w:after="60"/>
              <w:jc w:val="both"/>
              <w:rPr>
                <w:sz w:val="24"/>
                <w:szCs w:val="24"/>
                <w:lang w:val="uk-UA"/>
              </w:rPr>
            </w:pPr>
            <w:r>
              <w:rPr>
                <w:sz w:val="24"/>
                <w:szCs w:val="24"/>
                <w:lang w:val="uk-UA"/>
              </w:rPr>
              <w:t>Варіант №1</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both"/>
              <w:rPr>
                <w:lang w:val="uk-UA"/>
              </w:rPr>
            </w:pPr>
            <w:r>
              <w:rPr>
                <w:lang w:val="uk-UA"/>
              </w:rPr>
              <w:t>Атровент 0,3 у фл.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 фл.</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both"/>
              <w:rPr>
                <w:lang w:val="uk-UA"/>
              </w:rPr>
            </w:pPr>
            <w:r>
              <w:rPr>
                <w:lang w:val="uk-UA"/>
              </w:rPr>
              <w:t>Лазолван 0,03 у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40 табл.</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3.</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both"/>
              <w:rPr>
                <w:lang w:val="uk-UA"/>
              </w:rPr>
            </w:pPr>
            <w:r>
              <w:rPr>
                <w:lang w:val="uk-UA"/>
              </w:rPr>
              <w:t>Роваміцин 3 млн. од.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20 табл.</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4.</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both"/>
              <w:rPr>
                <w:lang w:val="uk-UA"/>
              </w:rPr>
            </w:pPr>
            <w:r>
              <w:rPr>
                <w:lang w:val="uk-UA"/>
              </w:rPr>
              <w:t>Цифран 0,5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10 табл.</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5.</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both"/>
              <w:rPr>
                <w:lang w:val="uk-UA"/>
              </w:rPr>
            </w:pPr>
            <w:r>
              <w:rPr>
                <w:lang w:val="uk-UA"/>
              </w:rPr>
              <w:t>Бромгексин 0,008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40 табл.</w:t>
            </w:r>
          </w:p>
        </w:tc>
      </w:tr>
      <w:tr w:rsidR="004A36EF" w:rsidTr="007561D1">
        <w:tblPrEx>
          <w:tblCellMar>
            <w:top w:w="0" w:type="dxa"/>
            <w:bottom w:w="0" w:type="dxa"/>
          </w:tblCellMar>
        </w:tblPrEx>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6.</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ind w:right="19"/>
              <w:jc w:val="both"/>
              <w:rPr>
                <w:lang w:val="uk-UA"/>
              </w:rPr>
            </w:pPr>
            <w:r>
              <w:rPr>
                <w:lang w:val="uk-UA"/>
              </w:rPr>
              <w:t>Мікстура від кашлю аптечного виготовлення (екстракт кореню алтеї 6,0; натрію бензоату 4,0; натрію гідрокарбонату 4,0; води очищеної до 200,0)</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 фл.</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ind w:left="1026"/>
              <w:jc w:val="both"/>
              <w:rPr>
                <w:lang w:val="uk-UA"/>
              </w:rPr>
            </w:pPr>
            <w:r>
              <w:rPr>
                <w:lang w:val="uk-UA"/>
              </w:rPr>
              <w:t>Загальні витрати на курс лікування (у. о.):</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25,74</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ind w:left="1026"/>
              <w:jc w:val="both"/>
              <w:rPr>
                <w:lang w:val="uk-UA"/>
              </w:rPr>
            </w:pPr>
            <w:r>
              <w:rPr>
                <w:lang w:val="uk-UA"/>
              </w:rPr>
              <w:t>Витрати на 1 день (у. о.):</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1,84</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u w:val="single"/>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pStyle w:val="4"/>
              <w:keepNext w:val="0"/>
              <w:spacing w:before="60" w:after="60" w:line="240" w:lineRule="auto"/>
              <w:ind w:left="0"/>
              <w:jc w:val="both"/>
              <w:rPr>
                <w:sz w:val="24"/>
                <w:szCs w:val="24"/>
                <w:u w:val="single"/>
                <w:lang w:val="uk-UA"/>
              </w:rPr>
            </w:pPr>
            <w:r>
              <w:rPr>
                <w:sz w:val="24"/>
                <w:szCs w:val="24"/>
                <w:u w:val="single"/>
                <w:lang w:val="uk-UA"/>
              </w:rPr>
              <w:t>Варіант №2</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pStyle w:val="4"/>
              <w:keepNext w:val="0"/>
              <w:spacing w:before="60" w:after="60" w:line="240" w:lineRule="auto"/>
              <w:ind w:left="0"/>
              <w:jc w:val="both"/>
              <w:rPr>
                <w:sz w:val="24"/>
                <w:szCs w:val="24"/>
                <w:lang w:val="uk-UA"/>
              </w:rPr>
            </w:pPr>
            <w:r>
              <w:rPr>
                <w:sz w:val="24"/>
                <w:szCs w:val="24"/>
                <w:lang w:val="uk-UA"/>
              </w:rPr>
              <w:t>Амброксол 0,03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40 табл.</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3.</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pStyle w:val="4"/>
              <w:keepNext w:val="0"/>
              <w:spacing w:before="60" w:after="60" w:line="240" w:lineRule="auto"/>
              <w:ind w:left="0"/>
              <w:jc w:val="both"/>
              <w:rPr>
                <w:sz w:val="24"/>
                <w:szCs w:val="24"/>
                <w:lang w:val="uk-UA"/>
              </w:rPr>
            </w:pPr>
            <w:r>
              <w:rPr>
                <w:sz w:val="24"/>
                <w:szCs w:val="24"/>
                <w:lang w:val="uk-UA"/>
              </w:rPr>
              <w:t>Макропен 0,4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20 табл.</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4.</w:t>
            </w: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pStyle w:val="4"/>
              <w:keepNext w:val="0"/>
              <w:spacing w:before="60" w:after="60" w:line="240" w:lineRule="auto"/>
              <w:ind w:left="0"/>
              <w:jc w:val="both"/>
              <w:rPr>
                <w:sz w:val="24"/>
                <w:szCs w:val="24"/>
                <w:lang w:val="uk-UA"/>
              </w:rPr>
            </w:pPr>
            <w:r>
              <w:rPr>
                <w:sz w:val="24"/>
                <w:szCs w:val="24"/>
                <w:lang w:val="uk-UA"/>
              </w:rPr>
              <w:t>Ципрофлоксацин 0,25 в табл.</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20 табл.</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ind w:left="1026"/>
              <w:jc w:val="both"/>
              <w:rPr>
                <w:lang w:val="uk-UA"/>
              </w:rPr>
            </w:pPr>
            <w:r>
              <w:rPr>
                <w:lang w:val="uk-UA"/>
              </w:rPr>
              <w:t>Загальні витрати на курс лікування (у. о.):</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13,09</w:t>
            </w:r>
          </w:p>
        </w:tc>
      </w:tr>
      <w:tr w:rsidR="004A36EF" w:rsidTr="007561D1">
        <w:tblPrEx>
          <w:tblCellMar>
            <w:top w:w="0" w:type="dxa"/>
            <w:bottom w:w="0" w:type="dxa"/>
          </w:tblCellMar>
        </w:tblPrEx>
        <w:trPr>
          <w:cantSplit/>
        </w:trPr>
        <w:tc>
          <w:tcPr>
            <w:tcW w:w="754"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p>
        </w:tc>
        <w:tc>
          <w:tcPr>
            <w:tcW w:w="7401"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ind w:left="1026"/>
              <w:jc w:val="both"/>
              <w:rPr>
                <w:lang w:val="uk-UA"/>
              </w:rPr>
            </w:pPr>
            <w:r>
              <w:rPr>
                <w:lang w:val="uk-UA"/>
              </w:rPr>
              <w:t>Витрати на 1 день (у. о.):</w:t>
            </w:r>
          </w:p>
        </w:tc>
        <w:tc>
          <w:tcPr>
            <w:tcW w:w="226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60" w:after="60"/>
              <w:jc w:val="center"/>
              <w:rPr>
                <w:lang w:val="uk-UA"/>
              </w:rPr>
            </w:pPr>
            <w:r>
              <w:rPr>
                <w:lang w:val="uk-UA"/>
              </w:rPr>
              <w:t>0,94</w:t>
            </w:r>
          </w:p>
        </w:tc>
      </w:tr>
    </w:tbl>
    <w:p w:rsidR="004A36EF" w:rsidRPr="004A36EF" w:rsidRDefault="004A36EF" w:rsidP="004A36EF">
      <w:pPr>
        <w:pStyle w:val="afffffff8"/>
        <w:spacing w:before="240"/>
        <w:ind w:firstLine="567"/>
        <w:jc w:val="both"/>
        <w:rPr>
          <w:color w:val="000000"/>
          <w:lang w:val="uk-UA"/>
        </w:rPr>
      </w:pPr>
      <w:r w:rsidRPr="004A36EF">
        <w:rPr>
          <w:color w:val="000000"/>
          <w:lang w:val="uk-UA"/>
        </w:rPr>
        <w:t>Для прикладу стандартизовані варіанти лікарського забезпечення пільгової категорії нас</w:t>
      </w:r>
      <w:r w:rsidRPr="004A36EF">
        <w:rPr>
          <w:color w:val="000000"/>
          <w:lang w:val="uk-UA"/>
        </w:rPr>
        <w:t>е</w:t>
      </w:r>
      <w:r w:rsidRPr="004A36EF">
        <w:rPr>
          <w:color w:val="000000"/>
          <w:lang w:val="uk-UA"/>
        </w:rPr>
        <w:t>лення – онкохворих за найпоширенішими захворюваннями – раком легенів і молочної залози (з</w:t>
      </w:r>
      <w:r w:rsidRPr="004A36EF">
        <w:rPr>
          <w:color w:val="000000"/>
          <w:lang w:val="uk-UA"/>
        </w:rPr>
        <w:t>а</w:t>
      </w:r>
      <w:r w:rsidRPr="004A36EF">
        <w:rPr>
          <w:color w:val="000000"/>
          <w:lang w:val="uk-UA"/>
        </w:rPr>
        <w:t>галом 14 варіантів), представлені на рис. 4 і 5.</w:t>
      </w:r>
    </w:p>
    <w:p w:rsidR="004A36EF" w:rsidRDefault="004A36EF" w:rsidP="004A36EF">
      <w:pPr>
        <w:pStyle w:val="afffffff8"/>
        <w:spacing w:after="240"/>
        <w:ind w:firstLine="567"/>
        <w:jc w:val="both"/>
        <w:rPr>
          <w:b/>
          <w:bCs/>
        </w:rPr>
      </w:pPr>
      <w:r>
        <w:rPr>
          <w:noProof/>
          <w:lang w:eastAsia="ru-RU"/>
        </w:rPr>
        <w:lastRenderedPageBreak/>
        <w:drawing>
          <wp:inline distT="0" distB="0" distL="0" distR="0">
            <wp:extent cx="5965825" cy="34569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825" cy="3456940"/>
                    </a:xfrm>
                    <a:prstGeom prst="rect">
                      <a:avLst/>
                    </a:prstGeom>
                    <a:noFill/>
                    <a:ln>
                      <a:noFill/>
                    </a:ln>
                  </pic:spPr>
                </pic:pic>
              </a:graphicData>
            </a:graphic>
          </wp:inline>
        </w:drawing>
      </w:r>
    </w:p>
    <w:p w:rsidR="004A36EF" w:rsidRDefault="004A36EF" w:rsidP="004A36EF">
      <w:pPr>
        <w:pStyle w:val="afffffff8"/>
        <w:spacing w:line="336" w:lineRule="auto"/>
        <w:ind w:firstLine="567"/>
        <w:jc w:val="both"/>
      </w:pPr>
      <w:r>
        <w:t>Рис. 4. Стандартизовані варіанти лікарського забезпечення пільгової категорії населення проми</w:t>
      </w:r>
      <w:r>
        <w:t>с</w:t>
      </w:r>
      <w:r>
        <w:t>лових регіонів – хворих раком легенів: 1 – вінкристин, 2 – дексаметазон, 3 – доксорубіцин, 4 – етозид, 5 – метотрексат, 6 – мітоксантрон, 7 – настоянка ехінацеї, 8 – преднізолон, 9 – розчин аскорбінової кислоти, 10 – розчин віт В</w:t>
      </w:r>
      <w:r>
        <w:rPr>
          <w:vertAlign w:val="subscript"/>
        </w:rPr>
        <w:t>1</w:t>
      </w:r>
      <w:r>
        <w:t>, 11 – розчин віт. В</w:t>
      </w:r>
      <w:r>
        <w:rPr>
          <w:vertAlign w:val="subscript"/>
        </w:rPr>
        <w:t>6</w:t>
      </w:r>
      <w:r>
        <w:t>, 12 – біогенний стимулятор, 13 – ци</w:t>
      </w:r>
      <w:r>
        <w:t>к</w:t>
      </w:r>
      <w:r>
        <w:t>лофосфан, 14 – циклофосфамід, 15 – цисплатин, 16 – церукал в амп., 17 – церукал в табл., 18 – фторурацил, 19 – навобан, 20 – зофран.</w:t>
      </w:r>
    </w:p>
    <w:p w:rsidR="004A36EF" w:rsidRDefault="004A36EF" w:rsidP="004A36EF">
      <w:pPr>
        <w:pStyle w:val="afffffff8"/>
        <w:spacing w:after="240"/>
        <w:ind w:firstLine="567"/>
        <w:jc w:val="both"/>
      </w:pPr>
      <w:r>
        <w:rPr>
          <w:noProof/>
          <w:lang w:eastAsia="ru-RU"/>
        </w:rPr>
        <w:lastRenderedPageBreak/>
        <w:drawing>
          <wp:inline distT="0" distB="0" distL="0" distR="0">
            <wp:extent cx="6266815" cy="3423285"/>
            <wp:effectExtent l="0" t="0" r="635" b="571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6815" cy="3423285"/>
                    </a:xfrm>
                    <a:prstGeom prst="rect">
                      <a:avLst/>
                    </a:prstGeom>
                    <a:noFill/>
                    <a:ln>
                      <a:noFill/>
                    </a:ln>
                  </pic:spPr>
                </pic:pic>
              </a:graphicData>
            </a:graphic>
          </wp:inline>
        </w:drawing>
      </w:r>
    </w:p>
    <w:p w:rsidR="004A36EF" w:rsidRDefault="004A36EF" w:rsidP="004A36EF">
      <w:pPr>
        <w:pStyle w:val="afffffff8"/>
        <w:ind w:firstLine="567"/>
        <w:jc w:val="both"/>
      </w:pPr>
      <w:r>
        <w:t>Рис. 5.</w:t>
      </w:r>
      <w:r>
        <w:rPr>
          <w:b/>
          <w:bCs/>
        </w:rPr>
        <w:t xml:space="preserve"> </w:t>
      </w:r>
      <w:r>
        <w:t>Стандартизовані варіанти лікарського забезпечення пільгової категорії населення промислових регіонів – хворих раком молочної залози.</w:t>
      </w:r>
    </w:p>
    <w:p w:rsidR="004A36EF" w:rsidRDefault="004A36EF" w:rsidP="004A36EF">
      <w:pPr>
        <w:pStyle w:val="afffffff8"/>
        <w:spacing w:line="372" w:lineRule="auto"/>
        <w:ind w:firstLine="567"/>
        <w:jc w:val="both"/>
        <w:rPr>
          <w:color w:val="000000"/>
        </w:rPr>
      </w:pPr>
      <w:r>
        <w:rPr>
          <w:color w:val="000000"/>
        </w:rPr>
        <w:t>Із рис. 4 видно, що для забезпечення хворих раком легенів пропонується 7 стандартизованих варіантів з терміном лікування 7, 27, 60 і 80 днів за певними схемами поєднання лікарських зас</w:t>
      </w:r>
      <w:r>
        <w:rPr>
          <w:color w:val="000000"/>
        </w:rPr>
        <w:t>о</w:t>
      </w:r>
      <w:r>
        <w:rPr>
          <w:color w:val="000000"/>
        </w:rPr>
        <w:t>бів. Відповідно, вартість придбання лікарських засобів коливається від 124,89 до 1402,80 у.о. на курс лікування. Варіанти № 6 і 7 призначені для лікування мілкоклітинного і немілкоклітинного раку легенів протягом року, що потребує значно більших коштів на придбання лікарських засобів.</w:t>
      </w:r>
    </w:p>
    <w:p w:rsidR="004A36EF" w:rsidRDefault="004A36EF" w:rsidP="004A36EF">
      <w:pPr>
        <w:pStyle w:val="afffffff8"/>
        <w:spacing w:line="372" w:lineRule="auto"/>
        <w:ind w:firstLine="567"/>
        <w:jc w:val="both"/>
        <w:rPr>
          <w:color w:val="000000"/>
        </w:rPr>
      </w:pPr>
      <w:r>
        <w:rPr>
          <w:color w:val="000000"/>
        </w:rPr>
        <w:t>Для лікування хворих раком молочної залози створено 7 стандартизованих варіантів з терм</w:t>
      </w:r>
      <w:r>
        <w:rPr>
          <w:color w:val="000000"/>
        </w:rPr>
        <w:t>і</w:t>
      </w:r>
      <w:r>
        <w:rPr>
          <w:color w:val="000000"/>
        </w:rPr>
        <w:t>ном лікування 8 і 19 днів і витратами на придбання лікарських засобів від 15,80 у.о. до 74,54 у.о. Останні варіанти №6 і 7 розраховані на інтенсивну терапію (рис. 5).</w:t>
      </w:r>
    </w:p>
    <w:p w:rsidR="004A36EF" w:rsidRDefault="004A36EF" w:rsidP="004A36EF">
      <w:pPr>
        <w:pStyle w:val="afffffff8"/>
        <w:spacing w:line="372" w:lineRule="auto"/>
        <w:ind w:firstLine="567"/>
        <w:jc w:val="both"/>
        <w:rPr>
          <w:color w:val="000000"/>
        </w:rPr>
      </w:pPr>
      <w:r>
        <w:rPr>
          <w:color w:val="000000"/>
        </w:rPr>
        <w:t>За такою ж схемою створені стандартизовані варіанти для лікарського забезпечення пільг</w:t>
      </w:r>
      <w:r>
        <w:rPr>
          <w:color w:val="000000"/>
        </w:rPr>
        <w:t>о</w:t>
      </w:r>
      <w:r>
        <w:rPr>
          <w:color w:val="000000"/>
        </w:rPr>
        <w:t>вої категорії населення промислових регіонів – хворих цукровим і нецукровим діабетом. Встано</w:t>
      </w:r>
      <w:r>
        <w:rPr>
          <w:color w:val="000000"/>
        </w:rPr>
        <w:t>в</w:t>
      </w:r>
      <w:r>
        <w:rPr>
          <w:color w:val="000000"/>
        </w:rPr>
        <w:t xml:space="preserve">лено, що за етіологією захворювання розрізняють діабет I і II типу та нецукровий діабет. Тому окремо для кожного виду створювались стандартизовані варіанти. Так, для </w:t>
      </w:r>
      <w:r>
        <w:rPr>
          <w:color w:val="000000"/>
        </w:rPr>
        <w:lastRenderedPageBreak/>
        <w:t>хворих цукровим ді</w:t>
      </w:r>
      <w:r>
        <w:rPr>
          <w:color w:val="000000"/>
        </w:rPr>
        <w:t>а</w:t>
      </w:r>
      <w:r>
        <w:rPr>
          <w:color w:val="000000"/>
        </w:rPr>
        <w:t>бетом I типу обґрунтовано 9 стандартизованих варіантів з терміном лікування 15 і 21 день і ко</w:t>
      </w:r>
      <w:r>
        <w:rPr>
          <w:color w:val="000000"/>
        </w:rPr>
        <w:t>ш</w:t>
      </w:r>
      <w:r>
        <w:rPr>
          <w:color w:val="000000"/>
        </w:rPr>
        <w:t>тами на придбання лікарських засобів в межах від 66,04 до 116,82 у. о. Для хворих цукровим ді</w:t>
      </w:r>
      <w:r>
        <w:rPr>
          <w:color w:val="000000"/>
        </w:rPr>
        <w:t>а</w:t>
      </w:r>
      <w:r>
        <w:rPr>
          <w:color w:val="000000"/>
        </w:rPr>
        <w:t>бетом II типу обґрунтовано 12 стандартизованих варіантів з терміном лікування 15 днів і варіа</w:t>
      </w:r>
      <w:r>
        <w:rPr>
          <w:color w:val="000000"/>
        </w:rPr>
        <w:softHyphen/>
        <w:t>бельністю коштів на придбання лікарських засобів від 22,30 до 54,67 у. о. Відповідно, для хворих нецукровим діабетом обґрунтовано 5 стандартизованих варіантів з терміном лікування 12 і 15 днів та коштами в межах від 12,87 до 26,97 у. о.</w:t>
      </w:r>
    </w:p>
    <w:p w:rsidR="004A36EF" w:rsidRDefault="004A36EF" w:rsidP="004A36EF">
      <w:pPr>
        <w:pStyle w:val="afffffff8"/>
        <w:spacing w:line="372" w:lineRule="auto"/>
        <w:ind w:firstLine="567"/>
        <w:jc w:val="both"/>
        <w:rPr>
          <w:color w:val="000000"/>
        </w:rPr>
      </w:pPr>
      <w:r>
        <w:rPr>
          <w:color w:val="000000"/>
        </w:rPr>
        <w:t>На заключному етапі досліджень створені стандартизовані варіанти лікарського забезпече</w:t>
      </w:r>
      <w:r>
        <w:rPr>
          <w:color w:val="000000"/>
        </w:rPr>
        <w:t>н</w:t>
      </w:r>
      <w:r>
        <w:rPr>
          <w:color w:val="000000"/>
        </w:rPr>
        <w:t>ня пільгової категорії населення промислових регіонів – хворих шизофренією шубоподібною і епілепсією, які мають широке розповсюдження. Встановлено, що для забезпечення хворих шиз</w:t>
      </w:r>
      <w:r>
        <w:rPr>
          <w:color w:val="000000"/>
        </w:rPr>
        <w:t>о</w:t>
      </w:r>
      <w:r>
        <w:rPr>
          <w:color w:val="000000"/>
        </w:rPr>
        <w:t>френією шубоподібною необхідно приймати до уваги 20 лікарських засобів, на базі яких створено 10 стандартизованих варіантів із затратами на придбання лікарських засобів в межах від 50,86 до 945,09 у. о. Серед них варіанти для інтенсивної терапії поєднують 11 - 12 лікарських засобів, і п</w:t>
      </w:r>
      <w:r>
        <w:rPr>
          <w:color w:val="000000"/>
        </w:rPr>
        <w:t>о</w:t>
      </w:r>
      <w:r>
        <w:rPr>
          <w:color w:val="000000"/>
        </w:rPr>
        <w:t>требують значно більше коштів на їх придбання, а також варіанти, які можуть бути використані в тому числі закладами і установами охорони здоров’я, які повністю або частково фінансуються за рахунок держбюджету чи регіональних фондів.</w:t>
      </w:r>
    </w:p>
    <w:p w:rsidR="004A36EF" w:rsidRDefault="004A36EF" w:rsidP="004A36EF">
      <w:pPr>
        <w:pStyle w:val="afffffff8"/>
        <w:spacing w:line="372" w:lineRule="auto"/>
        <w:ind w:firstLine="567"/>
        <w:jc w:val="both"/>
        <w:rPr>
          <w:color w:val="000000"/>
        </w:rPr>
      </w:pPr>
      <w:r>
        <w:rPr>
          <w:color w:val="000000"/>
        </w:rPr>
        <w:t>Для лікарського забезпечення хворих епілепсією обґрунтована номенклатура лікарських з</w:t>
      </w:r>
      <w:r>
        <w:rPr>
          <w:color w:val="000000"/>
        </w:rPr>
        <w:t>а</w:t>
      </w:r>
      <w:r>
        <w:rPr>
          <w:color w:val="000000"/>
        </w:rPr>
        <w:t>собів з 13 найменувань, на підставі яких створено за такою ж схемою 8 стандартизованих варіа</w:t>
      </w:r>
      <w:r>
        <w:rPr>
          <w:color w:val="000000"/>
        </w:rPr>
        <w:t>н</w:t>
      </w:r>
      <w:r>
        <w:rPr>
          <w:color w:val="000000"/>
        </w:rPr>
        <w:t>тів, де кошти на придбання лікарських засобів коливаються від 91,91 до 475,07 у. о.</w:t>
      </w:r>
    </w:p>
    <w:p w:rsidR="004A36EF" w:rsidRDefault="004A36EF" w:rsidP="004A36EF">
      <w:pPr>
        <w:pStyle w:val="afffffff8"/>
        <w:spacing w:line="372" w:lineRule="auto"/>
        <w:ind w:firstLine="567"/>
        <w:jc w:val="both"/>
        <w:rPr>
          <w:color w:val="000000"/>
          <w:spacing w:val="-2"/>
        </w:rPr>
      </w:pPr>
      <w:r>
        <w:rPr>
          <w:color w:val="000000"/>
          <w:spacing w:val="-2"/>
        </w:rPr>
        <w:t>Таким чином, обґрунтовані стандартизовані варіанти лікарського забезпечення пільгових кат</w:t>
      </w:r>
      <w:r>
        <w:rPr>
          <w:color w:val="000000"/>
          <w:spacing w:val="-2"/>
        </w:rPr>
        <w:t>е</w:t>
      </w:r>
      <w:r>
        <w:rPr>
          <w:color w:val="000000"/>
          <w:spacing w:val="-2"/>
        </w:rPr>
        <w:t>горій населення промислових регіонів на підставі мінімізації витрат на придбання лікарських зас</w:t>
      </w:r>
      <w:r>
        <w:rPr>
          <w:color w:val="000000"/>
          <w:spacing w:val="-2"/>
        </w:rPr>
        <w:t>о</w:t>
      </w:r>
      <w:r>
        <w:rPr>
          <w:color w:val="000000"/>
          <w:spacing w:val="-2"/>
        </w:rPr>
        <w:t xml:space="preserve">бів шляхом оцінки фармакотерапевтичної  дії за різними схемами поєднання лікарських засобів. Стандартизовані варіанти апробовані і рекомендовані МОЗ України для  використання у практичній медицині й фармації, внесені до реєстру </w:t>
      </w:r>
      <w:r>
        <w:rPr>
          <w:color w:val="000000"/>
          <w:spacing w:val="-2"/>
        </w:rPr>
        <w:lastRenderedPageBreak/>
        <w:t>нововведень і розглядаються як наукові основи удоскон</w:t>
      </w:r>
      <w:r>
        <w:rPr>
          <w:color w:val="000000"/>
          <w:spacing w:val="-2"/>
        </w:rPr>
        <w:t>а</w:t>
      </w:r>
      <w:r>
        <w:rPr>
          <w:color w:val="000000"/>
          <w:spacing w:val="-2"/>
        </w:rPr>
        <w:t>лення лікарського забезпечення пільгових категорій населення промислових рег</w:t>
      </w:r>
      <w:r>
        <w:rPr>
          <w:color w:val="000000"/>
          <w:spacing w:val="-2"/>
        </w:rPr>
        <w:t>і</w:t>
      </w:r>
      <w:r>
        <w:rPr>
          <w:color w:val="000000"/>
          <w:spacing w:val="-2"/>
        </w:rPr>
        <w:t>онів.</w:t>
      </w:r>
    </w:p>
    <w:p w:rsidR="004A36EF" w:rsidRDefault="004A36EF" w:rsidP="004A36EF">
      <w:pPr>
        <w:pStyle w:val="afffffff8"/>
        <w:ind w:firstLine="567"/>
        <w:rPr>
          <w:b/>
          <w:bCs/>
          <w:caps/>
          <w:color w:val="000000"/>
        </w:rPr>
      </w:pPr>
      <w:r>
        <w:rPr>
          <w:b/>
          <w:bCs/>
          <w:color w:val="000000"/>
        </w:rPr>
        <w:t>Вивчення вітчизняного фармацевтичного ринку інфузійних лікарських засобів</w:t>
      </w:r>
    </w:p>
    <w:p w:rsidR="004A36EF" w:rsidRDefault="004A36EF" w:rsidP="004A36EF">
      <w:pPr>
        <w:pStyle w:val="afffffff8"/>
        <w:ind w:firstLine="567"/>
        <w:jc w:val="both"/>
        <w:rPr>
          <w:color w:val="000000"/>
        </w:rPr>
      </w:pPr>
      <w:r>
        <w:rPr>
          <w:color w:val="000000"/>
        </w:rPr>
        <w:t>Попередніми дослідженнями встановлено, що інфузійні розчини широко використовуються в терапії пільгових категорій населення промислових регіонів і тому можуть розглядатись як н</w:t>
      </w:r>
      <w:r>
        <w:rPr>
          <w:color w:val="000000"/>
        </w:rPr>
        <w:t>а</w:t>
      </w:r>
      <w:r>
        <w:rPr>
          <w:color w:val="000000"/>
        </w:rPr>
        <w:t>прямок покращення їх лікарського забезпечення. Це обумовило необхідність вивчення їх стану на вітчизняному ринку.</w:t>
      </w:r>
    </w:p>
    <w:p w:rsidR="004A36EF" w:rsidRDefault="004A36EF" w:rsidP="004A36EF">
      <w:pPr>
        <w:pStyle w:val="afffffff8"/>
        <w:ind w:firstLine="567"/>
        <w:jc w:val="both"/>
        <w:rPr>
          <w:color w:val="000000"/>
        </w:rPr>
      </w:pPr>
      <w:r>
        <w:rPr>
          <w:color w:val="000000"/>
        </w:rPr>
        <w:t>Встановлено, що інфузійні лікарські засоби надходять від 73 виробників, у тому числі 32 ві</w:t>
      </w:r>
      <w:r>
        <w:rPr>
          <w:color w:val="000000"/>
        </w:rPr>
        <w:t>т</w:t>
      </w:r>
      <w:r>
        <w:rPr>
          <w:color w:val="000000"/>
        </w:rPr>
        <w:t>чизняних і 41 закордонного. Вони представлені більш ніж як 67 лікарськими засобами за 150 н</w:t>
      </w:r>
      <w:r>
        <w:rPr>
          <w:color w:val="000000"/>
        </w:rPr>
        <w:t>а</w:t>
      </w:r>
      <w:r>
        <w:rPr>
          <w:color w:val="000000"/>
        </w:rPr>
        <w:t>йменуваннями різного дозування та форм випуску. За анатомо-терапевтично-хімічною класифік</w:t>
      </w:r>
      <w:r>
        <w:rPr>
          <w:color w:val="000000"/>
        </w:rPr>
        <w:t>а</w:t>
      </w:r>
      <w:r>
        <w:rPr>
          <w:color w:val="000000"/>
        </w:rPr>
        <w:t>цією (АТС) усі інфузійні розчини відносяться до трьох груп (В, С, J), кожна із яких поділяєт</w:t>
      </w:r>
      <w:r>
        <w:rPr>
          <w:color w:val="000000"/>
        </w:rPr>
        <w:t>ь</w:t>
      </w:r>
      <w:r>
        <w:rPr>
          <w:color w:val="000000"/>
        </w:rPr>
        <w:t>ся на підгрупи.</w:t>
      </w:r>
    </w:p>
    <w:p w:rsidR="004A36EF" w:rsidRDefault="004A36EF" w:rsidP="004A36EF">
      <w:pPr>
        <w:pStyle w:val="afffffff8"/>
        <w:ind w:firstLine="567"/>
        <w:jc w:val="both"/>
        <w:rPr>
          <w:color w:val="000000"/>
          <w:spacing w:val="2"/>
        </w:rPr>
      </w:pPr>
      <w:r>
        <w:rPr>
          <w:color w:val="000000"/>
          <w:spacing w:val="2"/>
        </w:rPr>
        <w:t>Дослідження показали, що препарати кровозамінників і білкових фракцій плазми крові  (В 05 А) базуються на сьоми діючих речовинах: альбуміни, фторвуглецеві замінники, крохмаль, полівідон, желатин, декстран, інші білкові фракції плазми крові. Всього нараховується 38 ліка</w:t>
      </w:r>
      <w:r>
        <w:rPr>
          <w:color w:val="000000"/>
          <w:spacing w:val="2"/>
        </w:rPr>
        <w:t>р</w:t>
      </w:r>
      <w:r>
        <w:rPr>
          <w:color w:val="000000"/>
          <w:spacing w:val="2"/>
        </w:rPr>
        <w:t>ських засобів, більшість яких виробляється вітчизняними підприємствами. Але 26,7 % з них на</w:t>
      </w:r>
      <w:r>
        <w:rPr>
          <w:color w:val="000000"/>
          <w:spacing w:val="2"/>
        </w:rPr>
        <w:t>д</w:t>
      </w:r>
      <w:r>
        <w:rPr>
          <w:color w:val="000000"/>
          <w:spacing w:val="2"/>
        </w:rPr>
        <w:t>ходять від іноземних виробників. Тому ціни на них коливаються у широких межах і залежать від виробника, виду лікарської форми, фасовки та упаковки. На ціну лікарського засобу впливає т</w:t>
      </w:r>
      <w:r>
        <w:rPr>
          <w:color w:val="000000"/>
          <w:spacing w:val="2"/>
        </w:rPr>
        <w:t>а</w:t>
      </w:r>
      <w:r>
        <w:rPr>
          <w:color w:val="000000"/>
          <w:spacing w:val="2"/>
        </w:rPr>
        <w:t>кож націнка дистриб’юторських фірм. Найбільш доступними за ціною є інфузійні розчини вис</w:t>
      </w:r>
      <w:r>
        <w:rPr>
          <w:color w:val="000000"/>
          <w:spacing w:val="2"/>
        </w:rPr>
        <w:t>о</w:t>
      </w:r>
      <w:r>
        <w:rPr>
          <w:color w:val="000000"/>
          <w:spacing w:val="2"/>
        </w:rPr>
        <w:t>комолекулярних сполук – полівідону, декстрану і желат</w:t>
      </w:r>
      <w:r>
        <w:rPr>
          <w:color w:val="000000"/>
          <w:spacing w:val="2"/>
        </w:rPr>
        <w:t>и</w:t>
      </w:r>
      <w:r>
        <w:rPr>
          <w:color w:val="000000"/>
          <w:spacing w:val="2"/>
        </w:rPr>
        <w:t>ну.</w:t>
      </w:r>
    </w:p>
    <w:p w:rsidR="004A36EF" w:rsidRDefault="004A36EF" w:rsidP="004A36EF">
      <w:pPr>
        <w:pStyle w:val="afffffff8"/>
        <w:ind w:firstLine="567"/>
        <w:jc w:val="both"/>
        <w:rPr>
          <w:color w:val="000000"/>
        </w:rPr>
      </w:pPr>
      <w:r>
        <w:rPr>
          <w:color w:val="000000"/>
        </w:rPr>
        <w:t>Розчини для парентерального живлення формуються на основі жирових емульсій, певних комбінацій амінокислот, вуглеводів і представлені 52 лікарськими засобами, які виробляються 36 підприємствами, в тому числі 15 – вітчизняними і 21 – закордонними (58,3 %). Тобто, більша кіл</w:t>
      </w:r>
      <w:r>
        <w:rPr>
          <w:color w:val="000000"/>
        </w:rPr>
        <w:t>ь</w:t>
      </w:r>
      <w:r>
        <w:rPr>
          <w:color w:val="000000"/>
        </w:rPr>
        <w:t>кість лікарських засобів виробляється за кордоном, що впливає на їх ціну. Наприклад, розчини амінокислот і жирових емульсій закордонного виробництва мають ціну в межах від 416,35 до 59,99 грн. за один фл. А найдоступнішими за цінами на вітчизняному ринку є інфузійні розчини вуглеводів.</w:t>
      </w:r>
    </w:p>
    <w:p w:rsidR="004A36EF" w:rsidRDefault="004A36EF" w:rsidP="004A36EF">
      <w:pPr>
        <w:pStyle w:val="afffffff8"/>
        <w:ind w:firstLine="567"/>
        <w:jc w:val="both"/>
        <w:rPr>
          <w:color w:val="000000"/>
        </w:rPr>
      </w:pPr>
      <w:r>
        <w:rPr>
          <w:color w:val="000000"/>
        </w:rPr>
        <w:t>Розчини, які використовуються для корекції порушень електролітичного балансу на основі електролітів і осм</w:t>
      </w:r>
      <w:r>
        <w:rPr>
          <w:color w:val="000000"/>
        </w:rPr>
        <w:t>о</w:t>
      </w:r>
      <w:r>
        <w:rPr>
          <w:color w:val="000000"/>
        </w:rPr>
        <w:t>тичних діуретиків, представлені 23 лікарськими засобами. Надходять вони від 25 підприємств, в тому числі 16 вітчизняних (64%) і 9 іноземних (36%). Коливання ціни здійсн</w:t>
      </w:r>
      <w:r>
        <w:rPr>
          <w:color w:val="000000"/>
        </w:rPr>
        <w:t>ю</w:t>
      </w:r>
      <w:r>
        <w:rPr>
          <w:color w:val="000000"/>
        </w:rPr>
        <w:t>ється під дією тих же чинників. Наприклад, розчин “Трисіль”,  представлений на вітчизняному р</w:t>
      </w:r>
      <w:r>
        <w:rPr>
          <w:color w:val="000000"/>
        </w:rPr>
        <w:t>и</w:t>
      </w:r>
      <w:r>
        <w:rPr>
          <w:color w:val="000000"/>
        </w:rPr>
        <w:t>нку 7 найменуваннями у залежності від фасовки (200, 250, 400 і 500 мл.) та упаковки (бут., фл., пакети ПХВ). Ц</w:t>
      </w:r>
      <w:r>
        <w:rPr>
          <w:color w:val="000000"/>
        </w:rPr>
        <w:t>і</w:t>
      </w:r>
      <w:r>
        <w:rPr>
          <w:color w:val="000000"/>
        </w:rPr>
        <w:t xml:space="preserve">ни дистриб’юторів </w:t>
      </w:r>
      <w:r>
        <w:rPr>
          <w:color w:val="000000"/>
        </w:rPr>
        <w:lastRenderedPageBreak/>
        <w:t>коливаються від 2,38 до 4,2 грн., або у середньому складають 3,31 грн., хоча виробник – одне і те ж підприємство (рис. 6).</w:t>
      </w:r>
    </w:p>
    <w:p w:rsidR="004A36EF" w:rsidRDefault="004A36EF" w:rsidP="004A36EF">
      <w:pPr>
        <w:pStyle w:val="afffffff8"/>
      </w:pPr>
      <w:r>
        <w:rPr>
          <w:noProof/>
          <w:lang w:eastAsia="ru-RU"/>
        </w:rPr>
        <w:drawing>
          <wp:inline distT="0" distB="0" distL="0" distR="0">
            <wp:extent cx="6099810" cy="3100070"/>
            <wp:effectExtent l="0" t="0" r="0" b="0"/>
            <wp:docPr id="337" name="Диаграмма 3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36EF" w:rsidRDefault="004A36EF" w:rsidP="004A36EF">
      <w:pPr>
        <w:pStyle w:val="afffffff8"/>
        <w:ind w:firstLine="561"/>
        <w:jc w:val="both"/>
      </w:pPr>
      <w:r>
        <w:t>Рис. 6.</w:t>
      </w:r>
      <w:r>
        <w:rPr>
          <w:b/>
          <w:bCs/>
        </w:rPr>
        <w:t xml:space="preserve"> </w:t>
      </w:r>
      <w:r>
        <w:t>Коливання ціни розчину “Трисіль” по 400 мл. в бут. на вітчизняному фармацевтичн</w:t>
      </w:r>
      <w:r>
        <w:t>о</w:t>
      </w:r>
      <w:r>
        <w:t>му ринку.</w:t>
      </w:r>
    </w:p>
    <w:p w:rsidR="004A36EF" w:rsidRDefault="004A36EF" w:rsidP="004A36EF">
      <w:pPr>
        <w:pStyle w:val="afffffff8"/>
        <w:ind w:firstLine="567"/>
        <w:jc w:val="both"/>
        <w:rPr>
          <w:color w:val="000000"/>
        </w:rPr>
      </w:pPr>
      <w:r>
        <w:rPr>
          <w:color w:val="000000"/>
        </w:rPr>
        <w:t>Встановлено, що додаткові розчини для внутрішньовенного введення (В 05 Х) на вітчизн</w:t>
      </w:r>
      <w:r>
        <w:rPr>
          <w:color w:val="000000"/>
        </w:rPr>
        <w:t>я</w:t>
      </w:r>
      <w:r>
        <w:rPr>
          <w:color w:val="000000"/>
        </w:rPr>
        <w:t>ному ринку представлені розчинами електролітів у поєднанні з вуглеводами та іншими препар</w:t>
      </w:r>
      <w:r>
        <w:rPr>
          <w:color w:val="000000"/>
        </w:rPr>
        <w:t>а</w:t>
      </w:r>
      <w:r>
        <w:rPr>
          <w:color w:val="000000"/>
        </w:rPr>
        <w:t>тами. Всього 22 лікарських засобів, в тому числі 16 – розчини електролітів, 2 – розчини електрол</w:t>
      </w:r>
      <w:r>
        <w:rPr>
          <w:color w:val="000000"/>
        </w:rPr>
        <w:t>і</w:t>
      </w:r>
      <w:r>
        <w:rPr>
          <w:color w:val="000000"/>
        </w:rPr>
        <w:t>тів з вуглеводами і 4 – розчини електролітів в комбінації з іншими препаратами, які надходять від 30 виробників, з яких 70 % вітчизняні. Встановлена варіабельність ціни, яка у більшості випадків пов’язана з діяльністю дистриб’юторських фірм.</w:t>
      </w:r>
    </w:p>
    <w:p w:rsidR="004A36EF" w:rsidRDefault="004A36EF" w:rsidP="004A36EF">
      <w:pPr>
        <w:pStyle w:val="afffffff8"/>
        <w:ind w:firstLine="567"/>
        <w:jc w:val="both"/>
        <w:rPr>
          <w:color w:val="000000"/>
        </w:rPr>
      </w:pPr>
      <w:r>
        <w:rPr>
          <w:color w:val="000000"/>
        </w:rPr>
        <w:t>Наступна підгрупа – інші гематологічні засоби, представлена на вітчизняному ринку всього трьома лікарськими засобами виробництва закордонної фірми “Nycomed” (Австрія). Тому ціни зн</w:t>
      </w:r>
      <w:r>
        <w:rPr>
          <w:color w:val="000000"/>
        </w:rPr>
        <w:t>а</w:t>
      </w:r>
      <w:r>
        <w:rPr>
          <w:color w:val="000000"/>
        </w:rPr>
        <w:t>чні, від 62,78 до 75,97 грн. за 1 фл., тобто коливаються на ринку в межах 8,3 - 21%.</w:t>
      </w:r>
    </w:p>
    <w:p w:rsidR="004A36EF" w:rsidRDefault="004A36EF" w:rsidP="004A36EF">
      <w:pPr>
        <w:pStyle w:val="afffffff8"/>
        <w:ind w:firstLine="567"/>
        <w:jc w:val="both"/>
        <w:rPr>
          <w:color w:val="000000"/>
        </w:rPr>
      </w:pPr>
      <w:r>
        <w:rPr>
          <w:color w:val="000000"/>
        </w:rPr>
        <w:t>Встановлено, що група засобів, які впливають на серцево-судинну систему,  поєднує карді</w:t>
      </w:r>
      <w:r>
        <w:rPr>
          <w:color w:val="000000"/>
        </w:rPr>
        <w:t>о</w:t>
      </w:r>
      <w:r>
        <w:rPr>
          <w:color w:val="000000"/>
        </w:rPr>
        <w:t>логічні засоби (С 01) і антагоністи кальцію (С 08), нараховує 4 лікарські засоби закордонного в</w:t>
      </w:r>
      <w:r>
        <w:rPr>
          <w:color w:val="000000"/>
        </w:rPr>
        <w:t>и</w:t>
      </w:r>
      <w:r>
        <w:rPr>
          <w:color w:val="000000"/>
        </w:rPr>
        <w:t>робництва. Тому ціни високі, від 72,01 до 287,31 грн., або у середньому складають 179,66 грн.</w:t>
      </w:r>
    </w:p>
    <w:p w:rsidR="004A36EF" w:rsidRDefault="004A36EF" w:rsidP="004A36EF">
      <w:pPr>
        <w:pStyle w:val="afffffff8"/>
        <w:ind w:firstLine="567"/>
        <w:jc w:val="both"/>
        <w:rPr>
          <w:color w:val="000000"/>
          <w:spacing w:val="-2"/>
        </w:rPr>
      </w:pPr>
      <w:r>
        <w:rPr>
          <w:color w:val="000000"/>
          <w:spacing w:val="-2"/>
        </w:rPr>
        <w:t>Група протимікробних засобів для системного використання поєднує антибактеріальні зас</w:t>
      </w:r>
      <w:r>
        <w:rPr>
          <w:color w:val="000000"/>
          <w:spacing w:val="-2"/>
        </w:rPr>
        <w:t>о</w:t>
      </w:r>
      <w:r>
        <w:rPr>
          <w:color w:val="000000"/>
          <w:spacing w:val="-2"/>
        </w:rPr>
        <w:t>би (J 01), групу хінолінів (J 01 М), похідні імідазолу і протигрибкові засоби системного викори</w:t>
      </w:r>
      <w:r>
        <w:rPr>
          <w:color w:val="000000"/>
          <w:spacing w:val="-2"/>
        </w:rPr>
        <w:t>с</w:t>
      </w:r>
      <w:r>
        <w:rPr>
          <w:color w:val="000000"/>
          <w:spacing w:val="-2"/>
        </w:rPr>
        <w:t>тання (флуконазоли), які представлені на вітчизняному ринку 25 лікарськими засобами, більшість з яких закордонного виробництва (68,2 %), які на 28,5 % дорожчі від аналогів вітчизняного виро</w:t>
      </w:r>
      <w:r>
        <w:rPr>
          <w:color w:val="000000"/>
          <w:spacing w:val="-2"/>
        </w:rPr>
        <w:t>б</w:t>
      </w:r>
      <w:r>
        <w:rPr>
          <w:color w:val="000000"/>
          <w:spacing w:val="-2"/>
        </w:rPr>
        <w:t>ництва.</w:t>
      </w:r>
    </w:p>
    <w:p w:rsidR="004A36EF" w:rsidRDefault="004A36EF" w:rsidP="004A36EF">
      <w:pPr>
        <w:pStyle w:val="afffffff8"/>
        <w:ind w:firstLine="567"/>
        <w:jc w:val="both"/>
        <w:rPr>
          <w:color w:val="000000"/>
        </w:rPr>
      </w:pPr>
      <w:r>
        <w:rPr>
          <w:color w:val="000000"/>
        </w:rPr>
        <w:t>Узагальнюючи результати вивчення вітчизняного ринку інфузійних розчинів, необхідно ві</w:t>
      </w:r>
      <w:r>
        <w:rPr>
          <w:color w:val="000000"/>
        </w:rPr>
        <w:t>д</w:t>
      </w:r>
      <w:r>
        <w:rPr>
          <w:color w:val="000000"/>
        </w:rPr>
        <w:t xml:space="preserve">значити, що у більшості з них виробниками є </w:t>
      </w:r>
      <w:r>
        <w:rPr>
          <w:color w:val="000000"/>
        </w:rPr>
        <w:lastRenderedPageBreak/>
        <w:t>закордонні підприємства. Тому необхідно розвив</w:t>
      </w:r>
      <w:r>
        <w:rPr>
          <w:color w:val="000000"/>
        </w:rPr>
        <w:t>а</w:t>
      </w:r>
      <w:r>
        <w:rPr>
          <w:color w:val="000000"/>
        </w:rPr>
        <w:t>ти вітчизняне виробництво інфузійних розчинів, звернувши увагу на регіональні можливості. Вст</w:t>
      </w:r>
      <w:r>
        <w:rPr>
          <w:color w:val="000000"/>
        </w:rPr>
        <w:t>а</w:t>
      </w:r>
      <w:r>
        <w:rPr>
          <w:color w:val="000000"/>
        </w:rPr>
        <w:t>новлено, що ціни регіональних виробників конкурентоспроможні і є доступними для нас</w:t>
      </w:r>
      <w:r>
        <w:rPr>
          <w:color w:val="000000"/>
        </w:rPr>
        <w:t>е</w:t>
      </w:r>
      <w:r>
        <w:rPr>
          <w:color w:val="000000"/>
        </w:rPr>
        <w:t>лення регіону, бо потребують менших витрат на їх доведення до споживачів, що особливо важливо для забезп</w:t>
      </w:r>
      <w:r>
        <w:rPr>
          <w:color w:val="000000"/>
        </w:rPr>
        <w:t>е</w:t>
      </w:r>
      <w:r>
        <w:rPr>
          <w:color w:val="000000"/>
        </w:rPr>
        <w:t>чення пільгових категорій населення.</w:t>
      </w:r>
    </w:p>
    <w:p w:rsidR="004A36EF" w:rsidRDefault="004A36EF" w:rsidP="004A36EF">
      <w:pPr>
        <w:pStyle w:val="afffffff8"/>
        <w:ind w:firstLine="567"/>
        <w:jc w:val="both"/>
        <w:rPr>
          <w:color w:val="000000"/>
        </w:rPr>
      </w:pPr>
      <w:r>
        <w:rPr>
          <w:color w:val="000000"/>
        </w:rPr>
        <w:t>Встановлено також, що перспективними з цього приводу можуть бути технологічні розробки для впровадження у регіональне виробництво регуляторів водно-сольового балансу і кислотно-лужної рівноваги (розчин “Трисіль”) та колоїдних розчинів гемодинамічного впливу (розчин “Р</w:t>
      </w:r>
      <w:r>
        <w:rPr>
          <w:color w:val="000000"/>
        </w:rPr>
        <w:t>е</w:t>
      </w:r>
      <w:r>
        <w:rPr>
          <w:color w:val="000000"/>
        </w:rPr>
        <w:t>ополіглюкін”).</w:t>
      </w:r>
    </w:p>
    <w:p w:rsidR="004A36EF" w:rsidRDefault="004A36EF" w:rsidP="004A36EF">
      <w:pPr>
        <w:pStyle w:val="afffffff1"/>
        <w:widowControl w:val="0"/>
        <w:spacing w:line="360" w:lineRule="auto"/>
        <w:rPr>
          <w:sz w:val="24"/>
        </w:rPr>
      </w:pPr>
      <w:r>
        <w:rPr>
          <w:caps/>
          <w:sz w:val="24"/>
        </w:rPr>
        <w:t>Розробка промислової технології інфузійних розчинів “Реополіглюкін” і “Трисіль” в полім</w:t>
      </w:r>
      <w:r>
        <w:rPr>
          <w:caps/>
          <w:sz w:val="24"/>
        </w:rPr>
        <w:t>е</w:t>
      </w:r>
      <w:r>
        <w:rPr>
          <w:caps/>
          <w:sz w:val="24"/>
        </w:rPr>
        <w:t>рних пакетах для забезпечення пільгових категорій населення промислових регіонів</w:t>
      </w:r>
    </w:p>
    <w:p w:rsidR="004A36EF" w:rsidRDefault="004A36EF" w:rsidP="004A36EF">
      <w:pPr>
        <w:pStyle w:val="afffffff1"/>
        <w:widowControl w:val="0"/>
        <w:spacing w:line="360" w:lineRule="auto"/>
        <w:ind w:firstLine="567"/>
        <w:jc w:val="both"/>
        <w:rPr>
          <w:b/>
          <w:bCs/>
          <w:caps/>
          <w:sz w:val="24"/>
        </w:rPr>
      </w:pPr>
      <w:r>
        <w:rPr>
          <w:b/>
          <w:bCs/>
          <w:caps/>
          <w:sz w:val="24"/>
        </w:rPr>
        <w:t>Важливою проблемою для одержання високоякісних розчинів для ін’єкцій є додержання осмолярності (вимоги ДФУ), забезпечення стабільності при зберіганні в полімерній упаковці. Але ці питання недостатньо вивчені, особливо використання полімерних матеріалів для інфузійних р</w:t>
      </w:r>
      <w:r>
        <w:rPr>
          <w:b/>
          <w:bCs/>
          <w:caps/>
          <w:sz w:val="24"/>
        </w:rPr>
        <w:t>о</w:t>
      </w:r>
      <w:r>
        <w:rPr>
          <w:b/>
          <w:bCs/>
          <w:caps/>
          <w:sz w:val="24"/>
        </w:rPr>
        <w:t>зчинів, взаємного їх впливу, сумісності, встановлення оптимальних показників якості та терміну придатності. Вказане обумовлює необхідність проведення таких досліджень з метою досягнення поставленої перед нами мети.</w:t>
      </w:r>
    </w:p>
    <w:p w:rsidR="004A36EF" w:rsidRDefault="004A36EF" w:rsidP="004A36EF">
      <w:pPr>
        <w:widowControl w:val="0"/>
        <w:spacing w:line="360" w:lineRule="auto"/>
        <w:ind w:firstLine="567"/>
        <w:jc w:val="both"/>
        <w:rPr>
          <w:lang w:val="uk-UA"/>
        </w:rPr>
      </w:pPr>
      <w:r>
        <w:rPr>
          <w:lang w:val="uk-UA"/>
        </w:rPr>
        <w:t>Розрахунок осмолярності розчинів "Трисіль" і "Реополіглюкін" проводили за формулою:</w:t>
      </w:r>
    </w:p>
    <w:p w:rsidR="004A36EF" w:rsidRDefault="004A36EF" w:rsidP="004A36EF">
      <w:pPr>
        <w:widowControl w:val="0"/>
        <w:tabs>
          <w:tab w:val="left" w:pos="9360"/>
        </w:tabs>
        <w:spacing w:line="360" w:lineRule="auto"/>
        <w:ind w:firstLine="3960"/>
        <w:jc w:val="both"/>
        <w:rPr>
          <w:lang w:val="uk-UA"/>
        </w:rPr>
      </w:pPr>
      <w:r>
        <w:rPr>
          <w:position w:val="-24"/>
          <w:lang w:val="uk-UA"/>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pt;height:30.75pt" o:ole="" fillcolor="window">
            <v:imagedata r:id="rId16" o:title=""/>
          </v:shape>
          <o:OLEObject Type="Embed" ProgID="Equation.3" ShapeID="_x0000_i1025" DrawAspect="Content" ObjectID="_1516086297" r:id="rId17"/>
        </w:object>
      </w:r>
      <w:r>
        <w:rPr>
          <w:lang w:val="uk-UA"/>
        </w:rPr>
        <w:t xml:space="preserve">  ,</w:t>
      </w:r>
      <w:r>
        <w:rPr>
          <w:lang w:val="uk-UA"/>
        </w:rPr>
        <w:tab/>
        <w:t>(І)</w:t>
      </w:r>
    </w:p>
    <w:p w:rsidR="004A36EF" w:rsidRDefault="004A36EF" w:rsidP="004A36EF">
      <w:pPr>
        <w:widowControl w:val="0"/>
        <w:spacing w:line="360" w:lineRule="auto"/>
        <w:ind w:left="567" w:hanging="567"/>
        <w:jc w:val="both"/>
        <w:rPr>
          <w:lang w:val="uk-UA"/>
        </w:rPr>
      </w:pPr>
      <w:r>
        <w:rPr>
          <w:lang w:val="uk-UA"/>
        </w:rPr>
        <w:t>де:</w:t>
      </w:r>
      <w:r>
        <w:rPr>
          <w:lang w:val="uk-UA"/>
        </w:rPr>
        <w:tab/>
        <w:t>O</w:t>
      </w:r>
      <w:r>
        <w:rPr>
          <w:vertAlign w:val="subscript"/>
          <w:lang w:val="uk-UA"/>
        </w:rPr>
        <w:t xml:space="preserve">s </w:t>
      </w:r>
      <w:r>
        <w:rPr>
          <w:lang w:val="uk-UA"/>
        </w:rPr>
        <w:t>– осмолярність, мосмоль/л;</w:t>
      </w:r>
    </w:p>
    <w:p w:rsidR="004A36EF" w:rsidRDefault="004A36EF" w:rsidP="004A36EF">
      <w:pPr>
        <w:widowControl w:val="0"/>
        <w:spacing w:line="360" w:lineRule="auto"/>
        <w:ind w:firstLine="567"/>
        <w:jc w:val="both"/>
        <w:rPr>
          <w:lang w:val="uk-UA"/>
        </w:rPr>
      </w:pPr>
      <w:r>
        <w:rPr>
          <w:i/>
          <w:iCs/>
          <w:lang w:val="uk-UA"/>
        </w:rPr>
        <w:t>P</w:t>
      </w:r>
      <w:r>
        <w:rPr>
          <w:lang w:val="uk-UA"/>
        </w:rPr>
        <w:t xml:space="preserve"> – наважка речовини, г/л;</w:t>
      </w:r>
    </w:p>
    <w:p w:rsidR="004A36EF" w:rsidRDefault="004A36EF" w:rsidP="004A36EF">
      <w:pPr>
        <w:widowControl w:val="0"/>
        <w:spacing w:line="360" w:lineRule="auto"/>
        <w:ind w:firstLine="567"/>
        <w:jc w:val="both"/>
        <w:rPr>
          <w:lang w:val="uk-UA"/>
        </w:rPr>
      </w:pPr>
      <w:r>
        <w:rPr>
          <w:i/>
          <w:iCs/>
          <w:lang w:val="uk-UA"/>
        </w:rPr>
        <w:t>n</w:t>
      </w:r>
      <w:r>
        <w:rPr>
          <w:lang w:val="uk-UA"/>
        </w:rPr>
        <w:t xml:space="preserve"> – число кінетично активних часток;</w:t>
      </w:r>
    </w:p>
    <w:p w:rsidR="004A36EF" w:rsidRDefault="004A36EF" w:rsidP="004A36EF">
      <w:pPr>
        <w:widowControl w:val="0"/>
        <w:spacing w:line="360" w:lineRule="auto"/>
        <w:ind w:firstLine="567"/>
        <w:jc w:val="both"/>
        <w:rPr>
          <w:lang w:val="uk-UA"/>
        </w:rPr>
      </w:pPr>
      <w:r>
        <w:rPr>
          <w:i/>
          <w:iCs/>
          <w:lang w:val="uk-UA"/>
        </w:rPr>
        <w:t>М</w:t>
      </w:r>
      <w:r>
        <w:rPr>
          <w:lang w:val="uk-UA"/>
        </w:rPr>
        <w:t xml:space="preserve"> – молекулярна маса речовини.</w:t>
      </w:r>
    </w:p>
    <w:p w:rsidR="004A36EF" w:rsidRDefault="004A36EF" w:rsidP="004A36EF">
      <w:pPr>
        <w:pStyle w:val="afffffff8"/>
        <w:ind w:firstLine="567"/>
        <w:jc w:val="both"/>
      </w:pPr>
      <w:r w:rsidRPr="004A36EF">
        <w:rPr>
          <w:lang w:val="uk-UA"/>
        </w:rPr>
        <w:t>У багатокомпонентних розчинах розраховується осмолярність, яку створює кожен комп</w:t>
      </w:r>
      <w:r w:rsidRPr="004A36EF">
        <w:rPr>
          <w:lang w:val="uk-UA"/>
        </w:rPr>
        <w:t>о</w:t>
      </w:r>
      <w:r w:rsidRPr="004A36EF">
        <w:rPr>
          <w:lang w:val="uk-UA"/>
        </w:rPr>
        <w:t>нент, а отримані результати підсумовуються. Розчин вважається осмолярним, якщо його показн</w:t>
      </w:r>
      <w:r w:rsidRPr="004A36EF">
        <w:rPr>
          <w:lang w:val="uk-UA"/>
        </w:rPr>
        <w:t>и</w:t>
      </w:r>
      <w:r w:rsidRPr="004A36EF">
        <w:rPr>
          <w:lang w:val="uk-UA"/>
        </w:rPr>
        <w:t>ки укладаються в інтервалі 278-340 мосмоль/л. Розрахункові результати осмолярності розчинів “Реополіглюкін” і “Трисіль”, наведені в табл.</w:t>
      </w:r>
      <w:r>
        <w:t> 2, дозволяють зробити висновок, що досліджувані розчини відповідають вимогам за цим показником.</w:t>
      </w:r>
    </w:p>
    <w:p w:rsidR="004A36EF" w:rsidRDefault="004A36EF" w:rsidP="004A36EF">
      <w:pPr>
        <w:pStyle w:val="20"/>
        <w:keepNext w:val="0"/>
        <w:spacing w:line="360" w:lineRule="auto"/>
        <w:jc w:val="right"/>
        <w:rPr>
          <w:sz w:val="24"/>
          <w:szCs w:val="24"/>
        </w:rPr>
      </w:pPr>
      <w:r>
        <w:rPr>
          <w:sz w:val="24"/>
          <w:szCs w:val="24"/>
        </w:rPr>
        <w:lastRenderedPageBreak/>
        <w:t>Таблиця 2</w:t>
      </w:r>
    </w:p>
    <w:p w:rsidR="004A36EF" w:rsidRDefault="004A36EF" w:rsidP="004A36EF">
      <w:pPr>
        <w:pStyle w:val="34"/>
        <w:spacing w:after="120" w:line="360" w:lineRule="auto"/>
        <w:jc w:val="center"/>
      </w:pPr>
      <w:r>
        <w:t>Розрахункові дані осмолярності розчинів (мосмоль/л) “Реополіглюкін” і “Трисіль”</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48"/>
        <w:gridCol w:w="927"/>
        <w:gridCol w:w="1082"/>
        <w:gridCol w:w="1235"/>
        <w:gridCol w:w="1390"/>
        <w:gridCol w:w="1463"/>
      </w:tblGrid>
      <w:tr w:rsidR="004A36EF" w:rsidTr="007561D1">
        <w:tblPrEx>
          <w:tblCellMar>
            <w:top w:w="0" w:type="dxa"/>
            <w:bottom w:w="0" w:type="dxa"/>
          </w:tblCellMar>
        </w:tblPrEx>
        <w:trPr>
          <w:jc w:val="center"/>
        </w:trPr>
        <w:tc>
          <w:tcPr>
            <w:tcW w:w="4248"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Найменування препарату</w:t>
            </w: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pStyle w:val="5"/>
              <w:keepNext w:val="0"/>
              <w:spacing w:before="60" w:after="60"/>
              <w:jc w:val="center"/>
            </w:pPr>
            <w:r>
              <w:t>P</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b/>
                <w:bCs/>
                <w:lang w:val="uk-UA"/>
              </w:rPr>
            </w:pPr>
            <w:r>
              <w:rPr>
                <w:b/>
                <w:bCs/>
                <w:lang w:val="uk-UA"/>
              </w:rPr>
              <w:t>n</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b/>
                <w:bCs/>
                <w:lang w:val="uk-UA"/>
              </w:rPr>
            </w:pPr>
            <w:r>
              <w:rPr>
                <w:b/>
                <w:bCs/>
                <w:lang w:val="uk-UA"/>
              </w:rPr>
              <w:t>M</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b/>
                <w:bCs/>
                <w:lang w:val="uk-UA"/>
              </w:rPr>
            </w:pPr>
            <w:r>
              <w:rPr>
                <w:b/>
                <w:bCs/>
                <w:lang w:val="uk-UA"/>
              </w:rPr>
              <w:t>Os</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b/>
                <w:bCs/>
                <w:lang w:val="uk-UA"/>
              </w:rPr>
            </w:pPr>
            <w:r>
              <w:rPr>
                <w:b/>
                <w:bCs/>
                <w:lang w:val="uk-UA"/>
              </w:rPr>
              <w:t>Os</w:t>
            </w:r>
            <w:r>
              <w:rPr>
                <w:b/>
                <w:bCs/>
                <w:vertAlign w:val="subscript"/>
                <w:lang w:val="uk-UA"/>
              </w:rPr>
              <w:t>заг.</w:t>
            </w:r>
          </w:p>
        </w:tc>
      </w:tr>
      <w:tr w:rsidR="004A36EF" w:rsidTr="007561D1">
        <w:tblPrEx>
          <w:tblCellMar>
            <w:top w:w="0" w:type="dxa"/>
            <w:bottom w:w="0" w:type="dxa"/>
          </w:tblCellMar>
        </w:tblPrEx>
        <w:trPr>
          <w:cantSplit/>
          <w:trHeight w:val="77"/>
          <w:jc w:val="center"/>
        </w:trPr>
        <w:tc>
          <w:tcPr>
            <w:tcW w:w="4248" w:type="dxa"/>
            <w:vMerge w:val="restart"/>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r>
              <w:rPr>
                <w:lang w:val="uk-UA"/>
              </w:rPr>
              <w:t>"Трисіль"</w:t>
            </w:r>
          </w:p>
          <w:p w:rsidR="004A36EF" w:rsidRDefault="004A36EF" w:rsidP="007561D1">
            <w:pPr>
              <w:widowControl w:val="0"/>
              <w:spacing w:before="60" w:after="60"/>
              <w:jc w:val="both"/>
              <w:rPr>
                <w:lang w:val="uk-UA"/>
              </w:rPr>
            </w:pPr>
            <w:r>
              <w:rPr>
                <w:lang w:val="uk-UA"/>
              </w:rPr>
              <w:t>– натрію хлориду</w:t>
            </w:r>
          </w:p>
          <w:p w:rsidR="004A36EF" w:rsidRDefault="004A36EF" w:rsidP="007561D1">
            <w:pPr>
              <w:widowControl w:val="0"/>
              <w:spacing w:before="60" w:after="60"/>
              <w:jc w:val="both"/>
              <w:rPr>
                <w:lang w:val="uk-UA"/>
              </w:rPr>
            </w:pPr>
            <w:r>
              <w:rPr>
                <w:lang w:val="uk-UA"/>
              </w:rPr>
              <w:t>– калію хлориду</w:t>
            </w:r>
          </w:p>
          <w:p w:rsidR="004A36EF" w:rsidRDefault="004A36EF" w:rsidP="007561D1">
            <w:pPr>
              <w:widowControl w:val="0"/>
              <w:spacing w:before="60" w:after="60"/>
              <w:jc w:val="both"/>
              <w:rPr>
                <w:lang w:val="uk-UA"/>
              </w:rPr>
            </w:pPr>
            <w:r>
              <w:rPr>
                <w:lang w:val="uk-UA"/>
              </w:rPr>
              <w:t>– натрію гідрокарбонату</w:t>
            </w: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293,167</w:t>
            </w:r>
          </w:p>
        </w:tc>
      </w:tr>
      <w:tr w:rsidR="004A36EF" w:rsidTr="007561D1">
        <w:tblPrEx>
          <w:tblCellMar>
            <w:top w:w="0" w:type="dxa"/>
            <w:bottom w:w="0" w:type="dxa"/>
          </w:tblCellMar>
        </w:tblPrEx>
        <w:trPr>
          <w:cantSplit/>
          <w:trHeight w:val="251"/>
          <w:jc w:val="center"/>
        </w:trPr>
        <w:tc>
          <w:tcPr>
            <w:tcW w:w="4248"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5,0</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58,44</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171,116</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rPr>
          <w:cantSplit/>
          <w:trHeight w:val="79"/>
          <w:jc w:val="center"/>
        </w:trPr>
        <w:tc>
          <w:tcPr>
            <w:tcW w:w="4248"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1,0</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74,56</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26,824</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rPr>
          <w:cantSplit/>
          <w:trHeight w:val="87"/>
          <w:jc w:val="center"/>
        </w:trPr>
        <w:tc>
          <w:tcPr>
            <w:tcW w:w="4248"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4,0</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84,01</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95,227</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rPr>
          <w:cantSplit/>
          <w:trHeight w:val="72"/>
          <w:jc w:val="center"/>
        </w:trPr>
        <w:tc>
          <w:tcPr>
            <w:tcW w:w="4248" w:type="dxa"/>
            <w:vMerge w:val="restart"/>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r>
              <w:rPr>
                <w:lang w:val="uk-UA"/>
              </w:rPr>
              <w:t>"Реополіглюкін"</w:t>
            </w:r>
          </w:p>
          <w:p w:rsidR="004A36EF" w:rsidRDefault="004A36EF" w:rsidP="007561D1">
            <w:pPr>
              <w:widowControl w:val="0"/>
              <w:spacing w:before="60" w:after="60"/>
              <w:jc w:val="both"/>
              <w:rPr>
                <w:lang w:val="uk-UA"/>
              </w:rPr>
            </w:pPr>
            <w:r>
              <w:rPr>
                <w:lang w:val="uk-UA"/>
              </w:rPr>
              <w:t>– декстран</w:t>
            </w:r>
          </w:p>
          <w:p w:rsidR="004A36EF" w:rsidRDefault="004A36EF" w:rsidP="007561D1">
            <w:pPr>
              <w:widowControl w:val="0"/>
              <w:spacing w:before="60" w:after="60"/>
              <w:jc w:val="both"/>
              <w:rPr>
                <w:lang w:val="uk-UA"/>
              </w:rPr>
            </w:pPr>
            <w:r>
              <w:rPr>
                <w:lang w:val="uk-UA"/>
              </w:rPr>
              <w:t>– натрію хлорид</w:t>
            </w: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310,865</w:t>
            </w:r>
          </w:p>
        </w:tc>
      </w:tr>
      <w:tr w:rsidR="004A36EF" w:rsidTr="007561D1">
        <w:tblPrEx>
          <w:tblCellMar>
            <w:top w:w="0" w:type="dxa"/>
            <w:bottom w:w="0" w:type="dxa"/>
          </w:tblCellMar>
        </w:tblPrEx>
        <w:trPr>
          <w:cantSplit/>
          <w:jc w:val="center"/>
        </w:trPr>
        <w:tc>
          <w:tcPr>
            <w:tcW w:w="4248"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100,0</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1</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3500</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2,857</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r>
      <w:tr w:rsidR="004A36EF" w:rsidTr="007561D1">
        <w:tblPrEx>
          <w:tblCellMar>
            <w:top w:w="0" w:type="dxa"/>
            <w:bottom w:w="0" w:type="dxa"/>
          </w:tblCellMar>
        </w:tblPrEx>
        <w:trPr>
          <w:cantSplit/>
          <w:jc w:val="center"/>
        </w:trPr>
        <w:tc>
          <w:tcPr>
            <w:tcW w:w="4248"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both"/>
              <w:rPr>
                <w:lang w:val="uk-UA"/>
              </w:rPr>
            </w:pPr>
          </w:p>
        </w:tc>
        <w:tc>
          <w:tcPr>
            <w:tcW w:w="92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9,0</w:t>
            </w:r>
          </w:p>
        </w:tc>
        <w:tc>
          <w:tcPr>
            <w:tcW w:w="1082"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2</w:t>
            </w:r>
          </w:p>
        </w:tc>
        <w:tc>
          <w:tcPr>
            <w:tcW w:w="1235"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58,44</w:t>
            </w:r>
          </w:p>
        </w:tc>
        <w:tc>
          <w:tcPr>
            <w:tcW w:w="1390"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r>
              <w:rPr>
                <w:lang w:val="uk-UA"/>
              </w:rPr>
              <w:t>308,008</w:t>
            </w:r>
          </w:p>
        </w:tc>
        <w:tc>
          <w:tcPr>
            <w:tcW w:w="1463"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60" w:after="60"/>
              <w:jc w:val="center"/>
              <w:rPr>
                <w:lang w:val="uk-UA"/>
              </w:rPr>
            </w:pPr>
          </w:p>
        </w:tc>
      </w:tr>
    </w:tbl>
    <w:p w:rsidR="004A36EF" w:rsidRDefault="004A36EF" w:rsidP="004A36EF">
      <w:pPr>
        <w:pStyle w:val="24"/>
        <w:widowControl w:val="0"/>
      </w:pPr>
      <w:r>
        <w:t>Зберігання інфузійних розчинів у полімерних упаковках супроводжується зміною деяких ф</w:t>
      </w:r>
      <w:r>
        <w:t>і</w:t>
      </w:r>
      <w:r>
        <w:t>зико-хімічних показників. Характер перетворення здебільшого визначається фізико-хімічними властивостями полімеру, його хімічним складом та умовами експлуатації.</w:t>
      </w:r>
    </w:p>
    <w:p w:rsidR="004A36EF" w:rsidRDefault="004A36EF" w:rsidP="004A36EF">
      <w:pPr>
        <w:widowControl w:val="0"/>
        <w:spacing w:line="360" w:lineRule="auto"/>
        <w:ind w:firstLine="567"/>
        <w:jc w:val="both"/>
        <w:rPr>
          <w:lang w:val="uk-UA"/>
        </w:rPr>
      </w:pPr>
      <w:r>
        <w:rPr>
          <w:lang w:val="uk-UA"/>
        </w:rPr>
        <w:t>При безпосередньому контакті полівінілхлоридної упаковки та водного розчину лікарських засобів сп</w:t>
      </w:r>
      <w:r>
        <w:rPr>
          <w:lang w:val="uk-UA"/>
        </w:rPr>
        <w:t>о</w:t>
      </w:r>
      <w:r>
        <w:rPr>
          <w:lang w:val="uk-UA"/>
        </w:rPr>
        <w:t>стерігаються такі основні процеси:</w:t>
      </w:r>
    </w:p>
    <w:p w:rsidR="004A36EF" w:rsidRDefault="004A36EF" w:rsidP="004A36EF">
      <w:pPr>
        <w:widowControl w:val="0"/>
        <w:spacing w:line="360" w:lineRule="auto"/>
        <w:ind w:firstLine="567"/>
        <w:jc w:val="both"/>
        <w:rPr>
          <w:lang w:val="uk-UA"/>
        </w:rPr>
      </w:pPr>
      <w:r>
        <w:rPr>
          <w:lang w:val="uk-UA"/>
        </w:rPr>
        <w:t xml:space="preserve">– сорбція низькомолекулярних речовин полімером; </w:t>
      </w:r>
    </w:p>
    <w:p w:rsidR="004A36EF" w:rsidRDefault="004A36EF" w:rsidP="004A36EF">
      <w:pPr>
        <w:widowControl w:val="0"/>
        <w:spacing w:line="360" w:lineRule="auto"/>
        <w:ind w:firstLine="567"/>
        <w:jc w:val="both"/>
        <w:rPr>
          <w:lang w:val="uk-UA"/>
        </w:rPr>
      </w:pPr>
      <w:r>
        <w:rPr>
          <w:lang w:val="uk-UA"/>
        </w:rPr>
        <w:t>– дифузія пластифікаторів та інших допоміжних речовин полімера у розчин;</w:t>
      </w:r>
    </w:p>
    <w:p w:rsidR="004A36EF" w:rsidRDefault="004A36EF" w:rsidP="004A36EF">
      <w:pPr>
        <w:widowControl w:val="0"/>
        <w:spacing w:line="360" w:lineRule="auto"/>
        <w:ind w:firstLine="567"/>
        <w:jc w:val="both"/>
        <w:rPr>
          <w:lang w:val="uk-UA"/>
        </w:rPr>
      </w:pPr>
      <w:r>
        <w:rPr>
          <w:lang w:val="uk-UA"/>
        </w:rPr>
        <w:t>– дифузія низькомолекулярних речовин через стінку полімерної упаковки.</w:t>
      </w:r>
    </w:p>
    <w:p w:rsidR="004A36EF" w:rsidRDefault="004A36EF" w:rsidP="004A36EF">
      <w:pPr>
        <w:pStyle w:val="24"/>
        <w:widowControl w:val="0"/>
      </w:pPr>
      <w:r>
        <w:t>Однією з важливих фармацевтичних характеристик полімерних матеріалів є вологопрони</w:t>
      </w:r>
      <w:r>
        <w:t>к</w:t>
      </w:r>
      <w:r>
        <w:t>ність, спроможність пропускати водяні пари при наявності перепаду тиску останніх і залежить від природи полімеру (хімічного складу і структури), концентрації води в ньому і температури. До</w:t>
      </w:r>
      <w:r>
        <w:t>с</w:t>
      </w:r>
      <w:r>
        <w:t>лідження вологопроникності необхідно для встановлення оптимальних умов та термінів зберіга</w:t>
      </w:r>
      <w:r>
        <w:t>н</w:t>
      </w:r>
      <w:r>
        <w:t>ня лікарських препаратів.</w:t>
      </w:r>
    </w:p>
    <w:p w:rsidR="004A36EF" w:rsidRDefault="004A36EF" w:rsidP="004A36EF">
      <w:pPr>
        <w:widowControl w:val="0"/>
        <w:spacing w:line="360" w:lineRule="auto"/>
        <w:ind w:firstLine="567"/>
        <w:jc w:val="both"/>
        <w:rPr>
          <w:lang w:val="uk-UA"/>
        </w:rPr>
      </w:pPr>
      <w:r>
        <w:rPr>
          <w:lang w:val="uk-UA"/>
        </w:rPr>
        <w:t>Кількісною характеристикою процесу проходження речовин є коефіцієнт дифузії (проникн</w:t>
      </w:r>
      <w:r>
        <w:rPr>
          <w:lang w:val="uk-UA"/>
        </w:rPr>
        <w:t>о</w:t>
      </w:r>
      <w:r>
        <w:rPr>
          <w:lang w:val="uk-UA"/>
        </w:rPr>
        <w:t>сті), що відображає масу речовини (води) в грамах, яка проникає через полімерну плівку площею 1 см</w:t>
      </w:r>
      <w:r>
        <w:rPr>
          <w:vertAlign w:val="superscript"/>
          <w:lang w:val="uk-UA"/>
        </w:rPr>
        <w:t>2</w:t>
      </w:r>
      <w:r>
        <w:rPr>
          <w:lang w:val="uk-UA"/>
        </w:rPr>
        <w:t xml:space="preserve"> та товщиною 1 мм за 1 годину. Коефіцієнт проникності може бути визначений монометри</w:t>
      </w:r>
      <w:r>
        <w:rPr>
          <w:lang w:val="uk-UA"/>
        </w:rPr>
        <w:t>ч</w:t>
      </w:r>
      <w:r>
        <w:rPr>
          <w:lang w:val="uk-UA"/>
        </w:rPr>
        <w:t xml:space="preserve">ним, радіоізотопним та іншими методами. У наших дослідженнях ми </w:t>
      </w:r>
      <w:r>
        <w:rPr>
          <w:lang w:val="uk-UA"/>
        </w:rPr>
        <w:lastRenderedPageBreak/>
        <w:t>використовували гравіме</w:t>
      </w:r>
      <w:r>
        <w:rPr>
          <w:lang w:val="uk-UA"/>
        </w:rPr>
        <w:t>т</w:t>
      </w:r>
      <w:r>
        <w:rPr>
          <w:lang w:val="uk-UA"/>
        </w:rPr>
        <w:t>ричний метод. Коефіцієнт вологопроникності розраховували за формулою:</w:t>
      </w:r>
    </w:p>
    <w:p w:rsidR="004A36EF" w:rsidRDefault="004A36EF" w:rsidP="004A36EF">
      <w:pPr>
        <w:widowControl w:val="0"/>
        <w:tabs>
          <w:tab w:val="left" w:pos="9360"/>
        </w:tabs>
        <w:spacing w:line="360" w:lineRule="auto"/>
        <w:ind w:left="4320"/>
        <w:jc w:val="both"/>
        <w:rPr>
          <w:lang w:val="uk-UA"/>
        </w:rPr>
      </w:pPr>
      <w:r>
        <w:rPr>
          <w:position w:val="-22"/>
          <w:lang w:val="uk-UA"/>
        </w:rPr>
        <w:object w:dxaOrig="1219" w:dyaOrig="560">
          <v:shape id="_x0000_i1026" type="#_x0000_t75" style="width:68.5pt;height:31.6pt" o:ole="" fillcolor="window">
            <v:imagedata r:id="rId18" o:title=""/>
          </v:shape>
          <o:OLEObject Type="Embed" ProgID="Equation.3" ShapeID="_x0000_i1026" DrawAspect="Content" ObjectID="_1516086298" r:id="rId19"/>
        </w:object>
      </w:r>
      <w:r>
        <w:rPr>
          <w:lang w:val="uk-UA"/>
        </w:rPr>
        <w:t>,</w:t>
      </w:r>
      <w:r>
        <w:rPr>
          <w:lang w:val="uk-UA"/>
        </w:rPr>
        <w:tab/>
        <w:t>(ІІ)</w:t>
      </w:r>
    </w:p>
    <w:p w:rsidR="004A36EF" w:rsidRDefault="004A36EF" w:rsidP="004A36EF">
      <w:pPr>
        <w:widowControl w:val="0"/>
        <w:spacing w:line="360" w:lineRule="auto"/>
        <w:ind w:left="567" w:hanging="567"/>
        <w:jc w:val="both"/>
        <w:rPr>
          <w:lang w:val="uk-UA"/>
        </w:rPr>
      </w:pPr>
      <w:r>
        <w:rPr>
          <w:lang w:val="uk-UA"/>
        </w:rPr>
        <w:t>де:</w:t>
      </w:r>
      <w:r>
        <w:rPr>
          <w:lang w:val="uk-UA"/>
        </w:rPr>
        <w:tab/>
      </w:r>
      <w:r>
        <w:rPr>
          <w:lang w:val="uk-UA"/>
        </w:rPr>
        <w:sym w:font="Symbol" w:char="F044"/>
      </w:r>
      <w:r>
        <w:rPr>
          <w:lang w:val="uk-UA"/>
        </w:rPr>
        <w:t>m – кількість води, що дифундувала, г;</w:t>
      </w:r>
    </w:p>
    <w:p w:rsidR="004A36EF" w:rsidRDefault="004A36EF" w:rsidP="004A36EF">
      <w:pPr>
        <w:widowControl w:val="0"/>
        <w:spacing w:line="360" w:lineRule="auto"/>
        <w:ind w:firstLine="567"/>
        <w:jc w:val="both"/>
        <w:rPr>
          <w:lang w:val="uk-UA"/>
        </w:rPr>
      </w:pPr>
      <w:r>
        <w:rPr>
          <w:lang w:val="uk-UA"/>
        </w:rPr>
        <w:sym w:font="Symbol" w:char="F064"/>
      </w:r>
      <w:r>
        <w:rPr>
          <w:lang w:val="uk-UA"/>
        </w:rPr>
        <w:t xml:space="preserve"> – товщина плівки, мм;</w:t>
      </w:r>
    </w:p>
    <w:p w:rsidR="004A36EF" w:rsidRDefault="004A36EF" w:rsidP="004A36EF">
      <w:pPr>
        <w:widowControl w:val="0"/>
        <w:spacing w:line="360" w:lineRule="auto"/>
        <w:ind w:firstLine="567"/>
        <w:jc w:val="both"/>
        <w:rPr>
          <w:lang w:val="uk-UA"/>
        </w:rPr>
      </w:pPr>
      <w:r>
        <w:rPr>
          <w:lang w:val="uk-UA"/>
        </w:rPr>
        <w:t>S – площа плівки, см</w:t>
      </w:r>
      <w:r>
        <w:rPr>
          <w:vertAlign w:val="superscript"/>
          <w:lang w:val="uk-UA"/>
        </w:rPr>
        <w:t>2</w:t>
      </w:r>
      <w:r>
        <w:rPr>
          <w:lang w:val="uk-UA"/>
        </w:rPr>
        <w:t>;</w:t>
      </w:r>
    </w:p>
    <w:p w:rsidR="004A36EF" w:rsidRDefault="004A36EF" w:rsidP="004A36EF">
      <w:pPr>
        <w:widowControl w:val="0"/>
        <w:spacing w:line="360" w:lineRule="auto"/>
        <w:ind w:firstLine="567"/>
        <w:jc w:val="both"/>
        <w:rPr>
          <w:lang w:val="uk-UA"/>
        </w:rPr>
      </w:pPr>
      <w:r>
        <w:rPr>
          <w:lang w:val="uk-UA"/>
        </w:rPr>
        <w:t>t – час, доба.</w:t>
      </w:r>
    </w:p>
    <w:p w:rsidR="004A36EF" w:rsidRDefault="004A36EF" w:rsidP="004A36EF">
      <w:pPr>
        <w:widowControl w:val="0"/>
        <w:spacing w:line="384" w:lineRule="auto"/>
        <w:ind w:firstLine="567"/>
        <w:jc w:val="both"/>
        <w:rPr>
          <w:lang w:val="uk-UA"/>
        </w:rPr>
      </w:pPr>
      <w:r>
        <w:rPr>
          <w:lang w:val="uk-UA"/>
        </w:rPr>
        <w:t>Для визначення коефіцієнтів проникності води полівінілхлоридні пакети місткістю 250 мл та 500 мл наповнювали водою для ін'єкцій. Для подальших досліджень впливу температури на пр</w:t>
      </w:r>
      <w:r>
        <w:rPr>
          <w:lang w:val="uk-UA"/>
        </w:rPr>
        <w:t>о</w:t>
      </w:r>
      <w:r>
        <w:rPr>
          <w:lang w:val="uk-UA"/>
        </w:rPr>
        <w:t>никність води частину контейнерів упаковували у вторинну поліетиленамідну упаковку, а частину залишали без неї. Контейнери зберігали в холодильнику при кімнатній температурі та в термост</w:t>
      </w:r>
      <w:r>
        <w:rPr>
          <w:lang w:val="uk-UA"/>
        </w:rPr>
        <w:t>а</w:t>
      </w:r>
      <w:r>
        <w:rPr>
          <w:lang w:val="uk-UA"/>
        </w:rPr>
        <w:t>ті при температурах 40±1°С; 60±1°C та 80±1°C.</w:t>
      </w:r>
    </w:p>
    <w:p w:rsidR="004A36EF" w:rsidRDefault="004A36EF" w:rsidP="004A36EF">
      <w:pPr>
        <w:pStyle w:val="24"/>
        <w:widowControl w:val="0"/>
        <w:spacing w:line="384" w:lineRule="auto"/>
        <w:rPr>
          <w:spacing w:val="2"/>
        </w:rPr>
      </w:pPr>
      <w:r>
        <w:rPr>
          <w:spacing w:val="2"/>
        </w:rPr>
        <w:t>Визначені коефіцієнти проникності води через полівінілхлоридну упаковку наведені в табл. 3. Величини цих коефіцієнтів корелюють з літературними даними та свідчать про те, що коефіцієнт проникності у пакетах без вторинної упаковки різко зростає зі збільшенням темпер</w:t>
      </w:r>
      <w:r>
        <w:rPr>
          <w:spacing w:val="2"/>
        </w:rPr>
        <w:t>а</w:t>
      </w:r>
      <w:r>
        <w:rPr>
          <w:spacing w:val="2"/>
        </w:rPr>
        <w:t>тури зберігання, що збільшує швидкість втрати води через полівінілхлоридну упаковку. Коеф</w:t>
      </w:r>
      <w:r>
        <w:rPr>
          <w:spacing w:val="2"/>
        </w:rPr>
        <w:t>і</w:t>
      </w:r>
      <w:r>
        <w:rPr>
          <w:spacing w:val="2"/>
        </w:rPr>
        <w:t>цієнт проникності води через такий вид упаковки збільшувався в 50-60 разів при підвищені те</w:t>
      </w:r>
      <w:r>
        <w:rPr>
          <w:spacing w:val="2"/>
        </w:rPr>
        <w:t>м</w:t>
      </w:r>
      <w:r>
        <w:rPr>
          <w:spacing w:val="2"/>
        </w:rPr>
        <w:t>ператури до 80°C. Коефіцієнт проникності води у полівінілхлоридних пакетах у вторинній упаковці збіл</w:t>
      </w:r>
      <w:r>
        <w:rPr>
          <w:spacing w:val="2"/>
        </w:rPr>
        <w:t>ь</w:t>
      </w:r>
      <w:r>
        <w:rPr>
          <w:spacing w:val="2"/>
        </w:rPr>
        <w:t>шувався дещо повільніше.</w:t>
      </w:r>
    </w:p>
    <w:p w:rsidR="004A36EF" w:rsidRDefault="004A36EF" w:rsidP="004A36EF">
      <w:pPr>
        <w:pStyle w:val="6"/>
        <w:keepNext w:val="0"/>
        <w:rPr>
          <w:sz w:val="24"/>
          <w:szCs w:val="24"/>
        </w:rPr>
      </w:pPr>
      <w:r>
        <w:rPr>
          <w:sz w:val="24"/>
          <w:szCs w:val="24"/>
        </w:rPr>
        <w:t>Таблиця 3</w:t>
      </w:r>
    </w:p>
    <w:p w:rsidR="004A36EF" w:rsidRDefault="004A36EF" w:rsidP="004A36EF">
      <w:pPr>
        <w:pStyle w:val="34"/>
        <w:spacing w:line="360" w:lineRule="auto"/>
        <w:jc w:val="center"/>
      </w:pPr>
      <w:r>
        <w:t xml:space="preserve">Коефіцієнти проникності води через полівінілхлоридну упаковку при різних </w:t>
      </w:r>
      <w:r>
        <w:br/>
        <w:t>темпер</w:t>
      </w:r>
      <w:r>
        <w:t>а</w:t>
      </w:r>
      <w:r>
        <w:t>турах (Р=95%, п=5)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9"/>
        <w:gridCol w:w="1547"/>
        <w:gridCol w:w="1547"/>
        <w:gridCol w:w="1549"/>
        <w:gridCol w:w="1547"/>
        <w:gridCol w:w="1549"/>
      </w:tblGrid>
      <w:tr w:rsidR="004A36EF" w:rsidTr="007561D1">
        <w:tblPrEx>
          <w:tblCellMar>
            <w:top w:w="0" w:type="dxa"/>
            <w:bottom w:w="0" w:type="dxa"/>
          </w:tblCellMar>
        </w:tblPrEx>
        <w:trPr>
          <w:cantSplit/>
          <w:jc w:val="center"/>
        </w:trPr>
        <w:tc>
          <w:tcPr>
            <w:tcW w:w="2479" w:type="dxa"/>
            <w:vMerge w:val="restart"/>
            <w:tcBorders>
              <w:top w:val="single" w:sz="6" w:space="0" w:color="auto"/>
              <w:left w:val="single" w:sz="6" w:space="0" w:color="auto"/>
              <w:bottom w:val="single" w:sz="6" w:space="0" w:color="auto"/>
              <w:right w:val="single" w:sz="6" w:space="0" w:color="auto"/>
            </w:tcBorders>
            <w:vAlign w:val="center"/>
          </w:tcPr>
          <w:p w:rsidR="004A36EF" w:rsidRDefault="004A36EF" w:rsidP="007561D1">
            <w:pPr>
              <w:pStyle w:val="1"/>
              <w:keepNext w:val="0"/>
              <w:widowControl w:val="0"/>
              <w:spacing w:before="80" w:after="80"/>
              <w:jc w:val="center"/>
            </w:pPr>
            <w:r>
              <w:t>Ємність упаковки, л</w:t>
            </w:r>
          </w:p>
        </w:tc>
        <w:tc>
          <w:tcPr>
            <w:tcW w:w="7739" w:type="dxa"/>
            <w:gridSpan w:val="5"/>
            <w:tcBorders>
              <w:top w:val="single" w:sz="6" w:space="0" w:color="auto"/>
              <w:left w:val="single" w:sz="6" w:space="0" w:color="auto"/>
              <w:bottom w:val="single" w:sz="6" w:space="0" w:color="auto"/>
              <w:right w:val="single" w:sz="4" w:space="0" w:color="auto"/>
            </w:tcBorders>
          </w:tcPr>
          <w:p w:rsidR="004A36EF" w:rsidRDefault="004A36EF" w:rsidP="007561D1">
            <w:pPr>
              <w:pStyle w:val="1"/>
              <w:keepNext w:val="0"/>
              <w:widowControl w:val="0"/>
              <w:spacing w:before="80" w:after="80"/>
              <w:jc w:val="center"/>
            </w:pPr>
            <w:r>
              <w:t>Коефіцієнт проникності, г, мм/см</w:t>
            </w:r>
            <w:r>
              <w:rPr>
                <w:vertAlign w:val="superscript"/>
              </w:rPr>
              <w:t>2</w:t>
            </w:r>
            <w:r>
              <w:t>, добу</w:t>
            </w:r>
          </w:p>
        </w:tc>
      </w:tr>
      <w:tr w:rsidR="004A36EF" w:rsidTr="007561D1">
        <w:tblPrEx>
          <w:tblCellMar>
            <w:top w:w="0" w:type="dxa"/>
            <w:bottom w:w="0" w:type="dxa"/>
          </w:tblCellMar>
        </w:tblPrEx>
        <w:trPr>
          <w:cantSplit/>
          <w:jc w:val="center"/>
        </w:trPr>
        <w:tc>
          <w:tcPr>
            <w:tcW w:w="2479"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p>
        </w:tc>
        <w:tc>
          <w:tcPr>
            <w:tcW w:w="7739" w:type="dxa"/>
            <w:gridSpan w:val="5"/>
            <w:tcBorders>
              <w:top w:val="single" w:sz="6" w:space="0" w:color="auto"/>
              <w:left w:val="single" w:sz="6" w:space="0" w:color="auto"/>
              <w:bottom w:val="single" w:sz="6" w:space="0" w:color="auto"/>
              <w:right w:val="single" w:sz="4" w:space="0" w:color="auto"/>
            </w:tcBorders>
          </w:tcPr>
          <w:p w:rsidR="004A36EF" w:rsidRDefault="004A36EF" w:rsidP="007561D1">
            <w:pPr>
              <w:widowControl w:val="0"/>
              <w:spacing w:before="80" w:after="80"/>
              <w:jc w:val="center"/>
              <w:rPr>
                <w:lang w:val="uk-UA"/>
              </w:rPr>
            </w:pPr>
            <w:r>
              <w:rPr>
                <w:lang w:val="uk-UA"/>
              </w:rPr>
              <w:t>Температура, °C</w:t>
            </w:r>
          </w:p>
        </w:tc>
      </w:tr>
      <w:tr w:rsidR="004A36EF" w:rsidTr="007561D1">
        <w:tblPrEx>
          <w:tblCellMar>
            <w:top w:w="0" w:type="dxa"/>
            <w:bottom w:w="0" w:type="dxa"/>
          </w:tblCellMar>
        </w:tblPrEx>
        <w:trPr>
          <w:cantSplit/>
          <w:jc w:val="center"/>
        </w:trPr>
        <w:tc>
          <w:tcPr>
            <w:tcW w:w="2479" w:type="dxa"/>
            <w:vMerge/>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4±1</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20±1</w:t>
            </w:r>
          </w:p>
        </w:tc>
        <w:tc>
          <w:tcPr>
            <w:tcW w:w="1549"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40±1</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60±1</w:t>
            </w:r>
          </w:p>
        </w:tc>
        <w:tc>
          <w:tcPr>
            <w:tcW w:w="1549" w:type="dxa"/>
            <w:tcBorders>
              <w:top w:val="single" w:sz="6" w:space="0" w:color="auto"/>
              <w:left w:val="single" w:sz="6" w:space="0" w:color="auto"/>
              <w:bottom w:val="single" w:sz="6" w:space="0" w:color="auto"/>
              <w:right w:val="single" w:sz="4" w:space="0" w:color="auto"/>
            </w:tcBorders>
          </w:tcPr>
          <w:p w:rsidR="004A36EF" w:rsidRDefault="004A36EF" w:rsidP="007561D1">
            <w:pPr>
              <w:widowControl w:val="0"/>
              <w:spacing w:before="80" w:after="80"/>
              <w:jc w:val="center"/>
              <w:rPr>
                <w:lang w:val="uk-UA"/>
              </w:rPr>
            </w:pPr>
            <w:r>
              <w:rPr>
                <w:lang w:val="uk-UA"/>
              </w:rPr>
              <w:t>80±1</w:t>
            </w:r>
          </w:p>
        </w:tc>
      </w:tr>
      <w:tr w:rsidR="004A36EF" w:rsidTr="007561D1">
        <w:tblPrEx>
          <w:tblCellMar>
            <w:top w:w="0" w:type="dxa"/>
            <w:bottom w:w="0" w:type="dxa"/>
          </w:tblCellMar>
        </w:tblPrEx>
        <w:trPr>
          <w:cantSplit/>
          <w:jc w:val="center"/>
        </w:trPr>
        <w:tc>
          <w:tcPr>
            <w:tcW w:w="2479"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0,25 без вторинної</w:t>
            </w:r>
            <w:r>
              <w:t xml:space="preserve"> </w:t>
            </w:r>
            <w:r>
              <w:rPr>
                <w:lang w:val="uk-UA"/>
              </w:rPr>
              <w:t>у</w:t>
            </w:r>
            <w:r>
              <w:rPr>
                <w:lang w:val="uk-UA"/>
              </w:rPr>
              <w:t>паковки</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(1,67</w:t>
            </w:r>
            <w:r>
              <w:rPr>
                <w:lang w:val="uk-UA"/>
              </w:rPr>
              <w:br/>
              <w:t>±0,14)·10</w:t>
            </w:r>
            <w:r>
              <w:rPr>
                <w:vertAlign w:val="superscript"/>
                <w:lang w:val="uk-UA"/>
              </w:rPr>
              <w:t>-4</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(3,55</w:t>
            </w:r>
            <w:r>
              <w:rPr>
                <w:lang w:val="uk-UA"/>
              </w:rPr>
              <w:br/>
              <w:t>±0,21)</w:t>
            </w:r>
            <w:r>
              <w:rPr>
                <w:lang w:val="uk-UA"/>
              </w:rPr>
              <w:sym w:font="Times New Roman" w:char="00B7"/>
            </w:r>
            <w:r>
              <w:rPr>
                <w:lang w:val="uk-UA"/>
              </w:rPr>
              <w:t>10</w:t>
            </w:r>
            <w:r>
              <w:rPr>
                <w:vertAlign w:val="superscript"/>
                <w:lang w:val="uk-UA"/>
              </w:rPr>
              <w:t>-4</w:t>
            </w:r>
          </w:p>
        </w:tc>
        <w:tc>
          <w:tcPr>
            <w:tcW w:w="1549"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(5,53</w:t>
            </w:r>
            <w:r>
              <w:rPr>
                <w:lang w:val="uk-UA"/>
              </w:rPr>
              <w:br/>
              <w:t>±0,34)</w:t>
            </w:r>
            <w:r>
              <w:rPr>
                <w:lang w:val="uk-UA"/>
              </w:rPr>
              <w:sym w:font="Times New Roman" w:char="00B7"/>
            </w:r>
            <w:r>
              <w:rPr>
                <w:lang w:val="uk-UA"/>
              </w:rPr>
              <w:t>10</w:t>
            </w:r>
            <w:r>
              <w:rPr>
                <w:vertAlign w:val="superscript"/>
                <w:lang w:val="uk-UA"/>
              </w:rPr>
              <w:t>-3</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(3,11</w:t>
            </w:r>
            <w:r>
              <w:rPr>
                <w:lang w:val="uk-UA"/>
              </w:rPr>
              <w:br/>
              <w:t>±0,13)</w:t>
            </w:r>
            <w:r>
              <w:rPr>
                <w:lang w:val="uk-UA"/>
              </w:rPr>
              <w:sym w:font="Times New Roman" w:char="00B7"/>
            </w:r>
            <w:r>
              <w:rPr>
                <w:lang w:val="uk-UA"/>
              </w:rPr>
              <w:t>10</w:t>
            </w:r>
            <w:r>
              <w:rPr>
                <w:vertAlign w:val="superscript"/>
                <w:lang w:val="uk-UA"/>
              </w:rPr>
              <w:t>-2</w:t>
            </w:r>
          </w:p>
        </w:tc>
        <w:tc>
          <w:tcPr>
            <w:tcW w:w="1549" w:type="dxa"/>
            <w:tcBorders>
              <w:top w:val="single" w:sz="6" w:space="0" w:color="auto"/>
              <w:left w:val="single" w:sz="6" w:space="0" w:color="auto"/>
              <w:bottom w:val="single" w:sz="6" w:space="0" w:color="auto"/>
              <w:right w:val="single" w:sz="4" w:space="0" w:color="auto"/>
            </w:tcBorders>
          </w:tcPr>
          <w:p w:rsidR="004A36EF" w:rsidRDefault="004A36EF" w:rsidP="007561D1">
            <w:pPr>
              <w:widowControl w:val="0"/>
              <w:spacing w:before="80" w:after="80"/>
              <w:jc w:val="center"/>
              <w:rPr>
                <w:lang w:val="uk-UA"/>
              </w:rPr>
            </w:pPr>
            <w:r>
              <w:rPr>
                <w:lang w:val="uk-UA"/>
              </w:rPr>
              <w:t>(6,38</w:t>
            </w:r>
            <w:r>
              <w:rPr>
                <w:lang w:val="uk-UA"/>
              </w:rPr>
              <w:br/>
              <w:t>±0,45)</w:t>
            </w:r>
            <w:r>
              <w:rPr>
                <w:lang w:val="uk-UA"/>
              </w:rPr>
              <w:sym w:font="Times New Roman" w:char="00B7"/>
            </w:r>
            <w:r>
              <w:rPr>
                <w:lang w:val="uk-UA"/>
              </w:rPr>
              <w:t>10</w:t>
            </w:r>
            <w:r>
              <w:rPr>
                <w:vertAlign w:val="superscript"/>
                <w:lang w:val="uk-UA"/>
              </w:rPr>
              <w:t>-2</w:t>
            </w:r>
          </w:p>
        </w:tc>
      </w:tr>
      <w:tr w:rsidR="004A36EF" w:rsidTr="007561D1">
        <w:tblPrEx>
          <w:tblCellMar>
            <w:top w:w="0" w:type="dxa"/>
            <w:bottom w:w="0" w:type="dxa"/>
          </w:tblCellMar>
        </w:tblPrEx>
        <w:trPr>
          <w:cantSplit/>
          <w:trHeight w:val="784"/>
          <w:jc w:val="center"/>
        </w:trPr>
        <w:tc>
          <w:tcPr>
            <w:tcW w:w="2479"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lastRenderedPageBreak/>
              <w:t>0,25 у вторинній</w:t>
            </w:r>
            <w:r>
              <w:rPr>
                <w:lang w:val="uk-UA"/>
              </w:rPr>
              <w:br/>
              <w:t>упаковці</w:t>
            </w:r>
          </w:p>
        </w:tc>
        <w:tc>
          <w:tcPr>
            <w:tcW w:w="1547" w:type="dxa"/>
            <w:tcBorders>
              <w:top w:val="single" w:sz="6" w:space="0" w:color="auto"/>
              <w:left w:val="single" w:sz="6" w:space="0" w:color="auto"/>
              <w:bottom w:val="single" w:sz="4" w:space="0" w:color="auto"/>
              <w:right w:val="single" w:sz="6" w:space="0" w:color="auto"/>
            </w:tcBorders>
          </w:tcPr>
          <w:p w:rsidR="004A36EF" w:rsidRDefault="004A36EF" w:rsidP="007561D1">
            <w:pPr>
              <w:widowControl w:val="0"/>
              <w:spacing w:before="80" w:after="80"/>
              <w:jc w:val="center"/>
              <w:rPr>
                <w:lang w:val="uk-UA"/>
              </w:rPr>
            </w:pPr>
            <w:r>
              <w:rPr>
                <w:lang w:val="uk-UA"/>
              </w:rPr>
              <w:t>(1,22</w:t>
            </w:r>
            <w:r>
              <w:rPr>
                <w:lang w:val="uk-UA"/>
              </w:rPr>
              <w:br/>
              <w:t>±0,11)·10</w:t>
            </w:r>
            <w:r>
              <w:rPr>
                <w:vertAlign w:val="superscript"/>
                <w:lang w:val="uk-UA"/>
              </w:rPr>
              <w:t>-4</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(2,65</w:t>
            </w:r>
            <w:r>
              <w:rPr>
                <w:lang w:val="uk-UA"/>
              </w:rPr>
              <w:br/>
              <w:t>±0,18)</w:t>
            </w:r>
            <w:r>
              <w:rPr>
                <w:lang w:val="uk-UA"/>
              </w:rPr>
              <w:sym w:font="Times New Roman" w:char="00B7"/>
            </w:r>
            <w:r>
              <w:rPr>
                <w:lang w:val="uk-UA"/>
              </w:rPr>
              <w:t>10</w:t>
            </w:r>
            <w:r>
              <w:rPr>
                <w:vertAlign w:val="superscript"/>
                <w:lang w:val="uk-UA"/>
              </w:rPr>
              <w:t>-4</w:t>
            </w:r>
          </w:p>
        </w:tc>
        <w:tc>
          <w:tcPr>
            <w:tcW w:w="1549"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(3,74</w:t>
            </w:r>
            <w:r>
              <w:rPr>
                <w:lang w:val="uk-UA"/>
              </w:rPr>
              <w:br/>
              <w:t>±0,30)</w:t>
            </w:r>
            <w:r>
              <w:rPr>
                <w:lang w:val="uk-UA"/>
              </w:rPr>
              <w:sym w:font="Times New Roman" w:char="00B7"/>
            </w:r>
            <w:r>
              <w:rPr>
                <w:lang w:val="uk-UA"/>
              </w:rPr>
              <w:t>10</w:t>
            </w:r>
            <w:r>
              <w:rPr>
                <w:vertAlign w:val="superscript"/>
                <w:lang w:val="uk-UA"/>
              </w:rPr>
              <w:t>-3</w:t>
            </w:r>
          </w:p>
        </w:tc>
        <w:tc>
          <w:tcPr>
            <w:tcW w:w="1547" w:type="dxa"/>
            <w:tcBorders>
              <w:top w:val="single" w:sz="6" w:space="0" w:color="auto"/>
              <w:left w:val="single" w:sz="6" w:space="0" w:color="auto"/>
              <w:bottom w:val="single" w:sz="6" w:space="0" w:color="auto"/>
              <w:right w:val="single" w:sz="6" w:space="0" w:color="auto"/>
            </w:tcBorders>
          </w:tcPr>
          <w:p w:rsidR="004A36EF" w:rsidRDefault="004A36EF" w:rsidP="007561D1">
            <w:pPr>
              <w:widowControl w:val="0"/>
              <w:spacing w:before="80" w:after="80"/>
              <w:jc w:val="center"/>
              <w:rPr>
                <w:lang w:val="uk-UA"/>
              </w:rPr>
            </w:pPr>
            <w:r>
              <w:rPr>
                <w:lang w:val="uk-UA"/>
              </w:rPr>
              <w:t>(2,94</w:t>
            </w:r>
            <w:r>
              <w:rPr>
                <w:lang w:val="uk-UA"/>
              </w:rPr>
              <w:br/>
              <w:t>±0,43)</w:t>
            </w:r>
            <w:r>
              <w:rPr>
                <w:lang w:val="uk-UA"/>
              </w:rPr>
              <w:sym w:font="Times New Roman" w:char="00B7"/>
            </w:r>
            <w:r>
              <w:rPr>
                <w:lang w:val="uk-UA"/>
              </w:rPr>
              <w:t>10</w:t>
            </w:r>
            <w:r>
              <w:rPr>
                <w:vertAlign w:val="superscript"/>
                <w:lang w:val="uk-UA"/>
              </w:rPr>
              <w:t>-2</w:t>
            </w:r>
          </w:p>
        </w:tc>
        <w:tc>
          <w:tcPr>
            <w:tcW w:w="1549" w:type="dxa"/>
            <w:tcBorders>
              <w:top w:val="single" w:sz="6" w:space="0" w:color="auto"/>
              <w:left w:val="single" w:sz="6" w:space="0" w:color="auto"/>
              <w:bottom w:val="single" w:sz="6" w:space="0" w:color="auto"/>
              <w:right w:val="single" w:sz="4" w:space="0" w:color="auto"/>
            </w:tcBorders>
          </w:tcPr>
          <w:p w:rsidR="004A36EF" w:rsidRDefault="004A36EF" w:rsidP="007561D1">
            <w:pPr>
              <w:widowControl w:val="0"/>
              <w:spacing w:before="80" w:after="80"/>
              <w:jc w:val="center"/>
              <w:rPr>
                <w:lang w:val="uk-UA"/>
              </w:rPr>
            </w:pPr>
            <w:r>
              <w:rPr>
                <w:lang w:val="uk-UA"/>
              </w:rPr>
              <w:t>(6,20</w:t>
            </w:r>
            <w:r>
              <w:rPr>
                <w:lang w:val="uk-UA"/>
              </w:rPr>
              <w:br/>
              <w:t>±0,45)</w:t>
            </w:r>
            <w:r>
              <w:rPr>
                <w:lang w:val="uk-UA"/>
              </w:rPr>
              <w:sym w:font="Times New Roman" w:char="00B7"/>
            </w:r>
            <w:r>
              <w:rPr>
                <w:lang w:val="uk-UA"/>
              </w:rPr>
              <w:t>10</w:t>
            </w:r>
            <w:r>
              <w:rPr>
                <w:vertAlign w:val="superscript"/>
                <w:lang w:val="uk-UA"/>
              </w:rPr>
              <w:t>-2</w:t>
            </w:r>
          </w:p>
        </w:tc>
      </w:tr>
      <w:tr w:rsidR="004A36EF" w:rsidTr="007561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55"/>
          <w:jc w:val="center"/>
        </w:trPr>
        <w:tc>
          <w:tcPr>
            <w:tcW w:w="247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0,5 без вторинної упаковки</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(2,72</w:t>
            </w:r>
            <w:r>
              <w:rPr>
                <w:lang w:val="uk-UA"/>
              </w:rPr>
              <w:br/>
              <w:t>±0,43)·10</w:t>
            </w:r>
            <w:r>
              <w:rPr>
                <w:vertAlign w:val="superscript"/>
                <w:lang w:val="uk-UA"/>
              </w:rPr>
              <w:t>-4</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(5,25</w:t>
            </w:r>
            <w:r>
              <w:rPr>
                <w:lang w:val="uk-UA"/>
              </w:rPr>
              <w:br/>
              <w:t>±0,20)</w:t>
            </w:r>
            <w:r>
              <w:rPr>
                <w:lang w:val="uk-UA"/>
              </w:rPr>
              <w:sym w:font="Times New Roman" w:char="00B7"/>
            </w:r>
            <w:r>
              <w:rPr>
                <w:lang w:val="uk-UA"/>
              </w:rPr>
              <w:t>10</w:t>
            </w:r>
            <w:r>
              <w:rPr>
                <w:vertAlign w:val="superscript"/>
                <w:lang w:val="uk-UA"/>
              </w:rPr>
              <w:t>-5</w:t>
            </w:r>
          </w:p>
        </w:tc>
        <w:tc>
          <w:tcPr>
            <w:tcW w:w="154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vertAlign w:val="superscript"/>
                <w:lang w:val="uk-UA"/>
              </w:rPr>
            </w:pPr>
            <w:r>
              <w:rPr>
                <w:lang w:val="uk-UA"/>
              </w:rPr>
              <w:t>(1,86</w:t>
            </w:r>
            <w:r>
              <w:rPr>
                <w:lang w:val="uk-UA"/>
              </w:rPr>
              <w:br/>
              <w:t>±0,30)</w:t>
            </w:r>
            <w:r>
              <w:rPr>
                <w:lang w:val="uk-UA"/>
              </w:rPr>
              <w:sym w:font="Times New Roman" w:char="00B7"/>
            </w:r>
            <w:r>
              <w:rPr>
                <w:lang w:val="uk-UA"/>
              </w:rPr>
              <w:t>10</w:t>
            </w:r>
            <w:r>
              <w:rPr>
                <w:vertAlign w:val="superscript"/>
                <w:lang w:val="uk-UA"/>
              </w:rPr>
              <w:t>-4</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(7,94</w:t>
            </w:r>
            <w:r>
              <w:rPr>
                <w:lang w:val="uk-UA"/>
              </w:rPr>
              <w:br/>
              <w:t>±0,35)</w:t>
            </w:r>
            <w:r>
              <w:rPr>
                <w:lang w:val="uk-UA"/>
              </w:rPr>
              <w:sym w:font="Times New Roman" w:char="00B7"/>
            </w:r>
            <w:r>
              <w:rPr>
                <w:lang w:val="uk-UA"/>
              </w:rPr>
              <w:t>10</w:t>
            </w:r>
            <w:r>
              <w:rPr>
                <w:vertAlign w:val="superscript"/>
                <w:lang w:val="uk-UA"/>
              </w:rPr>
              <w:t>-4</w:t>
            </w:r>
          </w:p>
        </w:tc>
        <w:tc>
          <w:tcPr>
            <w:tcW w:w="154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(3,02</w:t>
            </w:r>
            <w:r>
              <w:rPr>
                <w:lang w:val="uk-UA"/>
              </w:rPr>
              <w:br/>
              <w:t>±0,40)</w:t>
            </w:r>
            <w:r>
              <w:rPr>
                <w:lang w:val="uk-UA"/>
              </w:rPr>
              <w:sym w:font="Times New Roman" w:char="00B7"/>
            </w:r>
            <w:r>
              <w:rPr>
                <w:lang w:val="uk-UA"/>
              </w:rPr>
              <w:t>10</w:t>
            </w:r>
            <w:r>
              <w:rPr>
                <w:vertAlign w:val="superscript"/>
                <w:lang w:val="uk-UA"/>
              </w:rPr>
              <w:t>-3</w:t>
            </w:r>
          </w:p>
        </w:tc>
      </w:tr>
      <w:tr w:rsidR="004A36EF" w:rsidTr="007561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255"/>
          <w:jc w:val="center"/>
        </w:trPr>
        <w:tc>
          <w:tcPr>
            <w:tcW w:w="247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0,5 у вторинній</w:t>
            </w:r>
            <w:r>
              <w:rPr>
                <w:lang w:val="en-US"/>
              </w:rPr>
              <w:br/>
            </w:r>
            <w:r>
              <w:rPr>
                <w:lang w:val="uk-UA"/>
              </w:rPr>
              <w:t>уп</w:t>
            </w:r>
            <w:r>
              <w:rPr>
                <w:lang w:val="uk-UA"/>
              </w:rPr>
              <w:t>а</w:t>
            </w:r>
            <w:r>
              <w:rPr>
                <w:lang w:val="uk-UA"/>
              </w:rPr>
              <w:t>ковці</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(3,15</w:t>
            </w:r>
            <w:r>
              <w:rPr>
                <w:lang w:val="uk-UA"/>
              </w:rPr>
              <w:br/>
              <w:t>±0,12)·10</w:t>
            </w:r>
            <w:r>
              <w:rPr>
                <w:vertAlign w:val="superscript"/>
                <w:lang w:val="uk-UA"/>
              </w:rPr>
              <w:t>-4</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(4,46</w:t>
            </w:r>
            <w:r>
              <w:rPr>
                <w:lang w:val="uk-UA"/>
              </w:rPr>
              <w:br/>
              <w:t>±0,20)</w:t>
            </w:r>
            <w:r>
              <w:rPr>
                <w:lang w:val="uk-UA"/>
              </w:rPr>
              <w:sym w:font="Times New Roman" w:char="00B7"/>
            </w:r>
            <w:r>
              <w:rPr>
                <w:lang w:val="uk-UA"/>
              </w:rPr>
              <w:t>10</w:t>
            </w:r>
            <w:r>
              <w:rPr>
                <w:vertAlign w:val="superscript"/>
                <w:lang w:val="uk-UA"/>
              </w:rPr>
              <w:t>-5</w:t>
            </w:r>
          </w:p>
        </w:tc>
        <w:tc>
          <w:tcPr>
            <w:tcW w:w="154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(8,85</w:t>
            </w:r>
            <w:r>
              <w:rPr>
                <w:lang w:val="uk-UA"/>
              </w:rPr>
              <w:br/>
              <w:t>±0,30)</w:t>
            </w:r>
            <w:r>
              <w:rPr>
                <w:lang w:val="uk-UA"/>
              </w:rPr>
              <w:sym w:font="Times New Roman" w:char="00B7"/>
            </w:r>
            <w:r>
              <w:rPr>
                <w:lang w:val="uk-UA"/>
              </w:rPr>
              <w:t>10</w:t>
            </w:r>
            <w:r>
              <w:rPr>
                <w:vertAlign w:val="superscript"/>
                <w:lang w:val="uk-UA"/>
              </w:rPr>
              <w:t>-5</w:t>
            </w:r>
          </w:p>
        </w:tc>
        <w:tc>
          <w:tcPr>
            <w:tcW w:w="154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(5,26</w:t>
            </w:r>
            <w:r>
              <w:rPr>
                <w:lang w:val="uk-UA"/>
              </w:rPr>
              <w:br/>
              <w:t>±0,35)</w:t>
            </w:r>
            <w:r>
              <w:rPr>
                <w:lang w:val="uk-UA"/>
              </w:rPr>
              <w:sym w:font="Times New Roman" w:char="00B7"/>
            </w:r>
            <w:r>
              <w:rPr>
                <w:lang w:val="uk-UA"/>
              </w:rPr>
              <w:t>10</w:t>
            </w:r>
            <w:r>
              <w:rPr>
                <w:vertAlign w:val="superscript"/>
                <w:lang w:val="uk-UA"/>
              </w:rPr>
              <w:t>-4</w:t>
            </w:r>
          </w:p>
        </w:tc>
        <w:tc>
          <w:tcPr>
            <w:tcW w:w="1549"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(1,82</w:t>
            </w:r>
            <w:r>
              <w:rPr>
                <w:lang w:val="uk-UA"/>
              </w:rPr>
              <w:br/>
              <w:t>±0,4)</w:t>
            </w:r>
            <w:r>
              <w:rPr>
                <w:lang w:val="uk-UA"/>
              </w:rPr>
              <w:sym w:font="Times New Roman" w:char="00B7"/>
            </w:r>
            <w:r>
              <w:rPr>
                <w:lang w:val="uk-UA"/>
              </w:rPr>
              <w:t>10</w:t>
            </w:r>
            <w:r>
              <w:rPr>
                <w:vertAlign w:val="superscript"/>
                <w:lang w:val="uk-UA"/>
              </w:rPr>
              <w:t>-3</w:t>
            </w:r>
          </w:p>
        </w:tc>
      </w:tr>
    </w:tbl>
    <w:p w:rsidR="004A36EF" w:rsidRDefault="004A36EF" w:rsidP="004A36EF">
      <w:pPr>
        <w:widowControl w:val="0"/>
        <w:spacing w:line="360" w:lineRule="auto"/>
        <w:ind w:firstLine="709"/>
        <w:jc w:val="both"/>
        <w:rPr>
          <w:lang w:val="uk-UA"/>
        </w:rPr>
      </w:pPr>
    </w:p>
    <w:p w:rsidR="004A36EF" w:rsidRDefault="004A36EF" w:rsidP="004A36EF">
      <w:pPr>
        <w:pStyle w:val="afffffff8"/>
        <w:spacing w:line="384" w:lineRule="auto"/>
        <w:ind w:firstLine="567"/>
        <w:jc w:val="both"/>
      </w:pPr>
      <w:r>
        <w:t xml:space="preserve">При температурі 60°С і 80°С відмічалася безповоротна деформаційна орієнтація полімеру внаслідок збільшення внутрішнього тиску пари води. При цьому товщина плівки зменшувалась з 350 мк до 320-330 мк, що також сприяло підвищенню проникності для пари води. </w:t>
      </w:r>
    </w:p>
    <w:p w:rsidR="004A36EF" w:rsidRDefault="004A36EF" w:rsidP="004A36EF">
      <w:pPr>
        <w:widowControl w:val="0"/>
        <w:spacing w:line="384" w:lineRule="auto"/>
        <w:ind w:firstLine="567"/>
        <w:jc w:val="both"/>
        <w:rPr>
          <w:lang w:val="uk-UA"/>
        </w:rPr>
      </w:pPr>
      <w:r>
        <w:rPr>
          <w:lang w:val="uk-UA"/>
        </w:rPr>
        <w:t>Визначені коефіцієнти проникності, знайдені при високій та низькій температурах, дозвол</w:t>
      </w:r>
      <w:r>
        <w:rPr>
          <w:lang w:val="uk-UA"/>
        </w:rPr>
        <w:t>и</w:t>
      </w:r>
      <w:r>
        <w:rPr>
          <w:lang w:val="uk-UA"/>
        </w:rPr>
        <w:t>ли екстраполювати їх на експериментальну температуру зберігання. В основу покладено лінійну залежність від’ємного логарифма коефіцієнта проникності води від температури. Залежність лог</w:t>
      </w:r>
      <w:r>
        <w:rPr>
          <w:lang w:val="uk-UA"/>
        </w:rPr>
        <w:t>а</w:t>
      </w:r>
      <w:r>
        <w:rPr>
          <w:lang w:val="uk-UA"/>
        </w:rPr>
        <w:t>рифма коефіцієнта проникності води від температури наведена на рис. 7.</w:t>
      </w:r>
    </w:p>
    <w:p w:rsidR="004A36EF" w:rsidRDefault="004A36EF" w:rsidP="004A36EF">
      <w:pPr>
        <w:widowControl w:val="0"/>
        <w:spacing w:line="384" w:lineRule="auto"/>
        <w:ind w:firstLine="567"/>
        <w:jc w:val="both"/>
        <w:rPr>
          <w:noProof/>
          <w:lang w:val="uk-UA"/>
        </w:rPr>
      </w:pPr>
      <w:r>
        <w:rPr>
          <w:lang w:val="uk-UA"/>
        </w:rPr>
        <w:t>Отримані результати дозволили прогнозувати зміну маси інфузійних розчинів при зберіганні упаковок в заданих режимах температури та встановлювати оптимальну температуру для їх тр</w:t>
      </w:r>
      <w:r>
        <w:rPr>
          <w:lang w:val="uk-UA"/>
        </w:rPr>
        <w:t>и</w:t>
      </w:r>
      <w:r>
        <w:rPr>
          <w:lang w:val="uk-UA"/>
        </w:rPr>
        <w:t>валого зберігання, а також показують необхідність використання вторинної упаковки.</w:t>
      </w:r>
    </w:p>
    <w:p w:rsidR="004A36EF" w:rsidRDefault="004A36EF" w:rsidP="004A36EF">
      <w:pPr>
        <w:pStyle w:val="afffffff8"/>
        <w:spacing w:line="384" w:lineRule="auto"/>
        <w:ind w:firstLine="567"/>
        <w:jc w:val="both"/>
        <w:rPr>
          <w:color w:val="000000"/>
        </w:rPr>
      </w:pPr>
      <w:r>
        <w:rPr>
          <w:color w:val="000000"/>
        </w:rPr>
        <w:t>Фізико-хімічні показники розчинів “Трисіль” і “Реополіглюкін” вивчали при зберіганні в п</w:t>
      </w:r>
      <w:r>
        <w:rPr>
          <w:color w:val="000000"/>
        </w:rPr>
        <w:t>о</w:t>
      </w:r>
      <w:r>
        <w:rPr>
          <w:color w:val="000000"/>
        </w:rPr>
        <w:t xml:space="preserve">лівінілхлоридних пакетах місткістю по 250 мл при температурі 20 </w:t>
      </w:r>
      <w:r>
        <w:t>± 1ºС.</w:t>
      </w:r>
    </w:p>
    <w:p w:rsidR="004A36EF" w:rsidRDefault="004A36EF" w:rsidP="004A36EF">
      <w:pPr>
        <w:widowControl w:val="0"/>
        <w:spacing w:line="384" w:lineRule="auto"/>
        <w:ind w:firstLine="567"/>
        <w:jc w:val="both"/>
        <w:rPr>
          <w:color w:val="000000"/>
          <w:spacing w:val="2"/>
          <w:lang w:val="uk-UA"/>
        </w:rPr>
      </w:pPr>
      <w:r>
        <w:rPr>
          <w:color w:val="000000"/>
          <w:spacing w:val="2"/>
          <w:lang w:val="uk-UA"/>
        </w:rPr>
        <w:t>Для цього проводили відбір зразків через кожні 3 місяці протягом 2 років експерименту. Для кожного строку зберігання відбирали по 5 зразків, які піддавали органолептичному, фізико-хімічному, хімічному (якісному і кількісному) аналізу, та досліджували на стерильність і пір</w:t>
      </w:r>
      <w:r>
        <w:rPr>
          <w:color w:val="000000"/>
          <w:spacing w:val="2"/>
          <w:lang w:val="uk-UA"/>
        </w:rPr>
        <w:t>о</w:t>
      </w:r>
      <w:r>
        <w:rPr>
          <w:color w:val="000000"/>
          <w:spacing w:val="2"/>
          <w:lang w:val="uk-UA"/>
        </w:rPr>
        <w:t>генність.</w:t>
      </w:r>
    </w:p>
    <w:p w:rsidR="004A36EF" w:rsidRDefault="004A36EF" w:rsidP="004A36EF">
      <w:pPr>
        <w:widowControl w:val="0"/>
        <w:spacing w:line="360" w:lineRule="auto"/>
        <w:ind w:firstLine="567"/>
        <w:jc w:val="both"/>
        <w:rPr>
          <w:color w:val="000000"/>
          <w:lang w:val="uk-UA"/>
        </w:rPr>
      </w:pPr>
      <w:r>
        <w:rPr>
          <w:noProof/>
          <w:lang w:eastAsia="ru-RU"/>
        </w:rPr>
        <w:lastRenderedPageBreak/>
        <w:drawing>
          <wp:inline distT="0" distB="0" distL="0" distR="0">
            <wp:extent cx="5296535" cy="332295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6535" cy="3322955"/>
                    </a:xfrm>
                    <a:prstGeom prst="rect">
                      <a:avLst/>
                    </a:prstGeom>
                    <a:noFill/>
                    <a:ln>
                      <a:noFill/>
                    </a:ln>
                  </pic:spPr>
                </pic:pic>
              </a:graphicData>
            </a:graphic>
          </wp:inline>
        </w:drawing>
      </w:r>
    </w:p>
    <w:p w:rsidR="004A36EF" w:rsidRDefault="004A36EF" w:rsidP="004A36EF">
      <w:pPr>
        <w:pStyle w:val="24"/>
        <w:widowControl w:val="0"/>
        <w:spacing w:after="240"/>
        <w:rPr>
          <w:spacing w:val="2"/>
        </w:rPr>
      </w:pPr>
      <w:r>
        <w:rPr>
          <w:spacing w:val="2"/>
        </w:rPr>
        <w:t>Рис. 7. Залежність від’ємного логарифма коефіцієнта проникності води від температури зберігання.</w:t>
      </w:r>
    </w:p>
    <w:p w:rsidR="004A36EF" w:rsidRDefault="004A36EF" w:rsidP="004A36EF">
      <w:pPr>
        <w:pStyle w:val="24"/>
        <w:widowControl w:val="0"/>
      </w:pPr>
      <w:r>
        <w:t>Результати органолептичного та фізико-хімічного аналізу інфузійних розчинів “Трисіль” та “Реополіглюкін” наведені в табл. 4-6.</w:t>
      </w:r>
    </w:p>
    <w:p w:rsidR="004A36EF" w:rsidRDefault="004A36EF" w:rsidP="004A36EF">
      <w:pPr>
        <w:pStyle w:val="afffffff8"/>
        <w:ind w:firstLine="567"/>
        <w:jc w:val="both"/>
        <w:rPr>
          <w:spacing w:val="2"/>
        </w:rPr>
      </w:pPr>
      <w:r>
        <w:rPr>
          <w:spacing w:val="2"/>
        </w:rPr>
        <w:t>Такі показники, як прозорість, відсутність механічних включень, рН розчину, кольоровість протягом усього строку експерименту залишалися незмінними і цілком задовольняли вимоги в</w:t>
      </w:r>
      <w:r>
        <w:rPr>
          <w:spacing w:val="2"/>
        </w:rPr>
        <w:t>і</w:t>
      </w:r>
      <w:r>
        <w:rPr>
          <w:spacing w:val="2"/>
        </w:rPr>
        <w:t>дповідних аналітичних нормативних документів. Кольоровість розчину “Реополіглюкін” не перевищув</w:t>
      </w:r>
      <w:r>
        <w:rPr>
          <w:spacing w:val="2"/>
        </w:rPr>
        <w:t>а</w:t>
      </w:r>
      <w:r>
        <w:rPr>
          <w:spacing w:val="2"/>
        </w:rPr>
        <w:t>ла еталона № 6б, рН розчину знаходився в межах 4,0-6,5, а в розчині “Трисіль” – від 8,1 до 8,9.</w:t>
      </w:r>
    </w:p>
    <w:p w:rsidR="004A36EF" w:rsidRDefault="004A36EF" w:rsidP="004A36EF">
      <w:pPr>
        <w:pStyle w:val="7"/>
      </w:pPr>
      <w:r>
        <w:t>Таблиця 4</w:t>
      </w:r>
    </w:p>
    <w:p w:rsidR="004A36EF" w:rsidRDefault="004A36EF" w:rsidP="004A36EF">
      <w:pPr>
        <w:widowControl w:val="0"/>
        <w:spacing w:line="360" w:lineRule="auto"/>
        <w:ind w:firstLine="720"/>
        <w:jc w:val="center"/>
        <w:rPr>
          <w:lang w:val="uk-UA"/>
        </w:rPr>
      </w:pPr>
      <w:r>
        <w:rPr>
          <w:lang w:val="uk-UA"/>
        </w:rPr>
        <w:t>Показники якості розчинів “Трисіль” та “Реополіглюкін” у процесі зберігання (Р=95%, n=5)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380"/>
        <w:gridCol w:w="54"/>
        <w:gridCol w:w="828"/>
        <w:gridCol w:w="35"/>
        <w:gridCol w:w="846"/>
        <w:gridCol w:w="17"/>
        <w:gridCol w:w="869"/>
        <w:gridCol w:w="1678"/>
        <w:gridCol w:w="939"/>
        <w:gridCol w:w="852"/>
        <w:gridCol w:w="844"/>
      </w:tblGrid>
      <w:tr w:rsidR="004A36EF" w:rsidTr="007561D1">
        <w:tblPrEx>
          <w:tblCellMar>
            <w:top w:w="0" w:type="dxa"/>
            <w:bottom w:w="0" w:type="dxa"/>
          </w:tblCellMar>
        </w:tblPrEx>
        <w:trPr>
          <w:cantSplit/>
          <w:trHeight w:val="488"/>
          <w:jc w:val="center"/>
        </w:trPr>
        <w:tc>
          <w:tcPr>
            <w:tcW w:w="1977" w:type="dxa"/>
            <w:vMerge w:val="restart"/>
            <w:tcBorders>
              <w:top w:val="single" w:sz="4" w:space="0" w:color="auto"/>
              <w:left w:val="single" w:sz="4" w:space="0" w:color="auto"/>
              <w:bottom w:val="single" w:sz="4" w:space="0" w:color="auto"/>
              <w:right w:val="single" w:sz="4" w:space="0" w:color="auto"/>
            </w:tcBorders>
          </w:tcPr>
          <w:p w:rsidR="004A36EF" w:rsidRDefault="004A36EF" w:rsidP="007561D1">
            <w:pPr>
              <w:pStyle w:val="4"/>
              <w:keepNext w:val="0"/>
              <w:spacing w:before="100" w:after="100" w:line="240" w:lineRule="auto"/>
              <w:ind w:left="0"/>
              <w:rPr>
                <w:sz w:val="24"/>
                <w:szCs w:val="24"/>
                <w:lang w:val="uk-UA"/>
              </w:rPr>
            </w:pPr>
          </w:p>
          <w:p w:rsidR="004A36EF" w:rsidRDefault="004A36EF" w:rsidP="007561D1">
            <w:pPr>
              <w:pStyle w:val="4"/>
              <w:keepNext w:val="0"/>
              <w:spacing w:before="100" w:after="100" w:line="240" w:lineRule="auto"/>
              <w:ind w:left="0"/>
              <w:rPr>
                <w:sz w:val="24"/>
                <w:szCs w:val="24"/>
                <w:lang w:val="uk-UA"/>
              </w:rPr>
            </w:pPr>
            <w:r>
              <w:rPr>
                <w:sz w:val="24"/>
                <w:szCs w:val="24"/>
                <w:lang w:val="uk-UA"/>
              </w:rPr>
              <w:t>Показник</w:t>
            </w:r>
          </w:p>
        </w:tc>
        <w:tc>
          <w:tcPr>
            <w:tcW w:w="4029" w:type="dxa"/>
            <w:gridSpan w:val="7"/>
            <w:tcBorders>
              <w:top w:val="single" w:sz="4" w:space="0" w:color="auto"/>
              <w:left w:val="single" w:sz="4" w:space="0" w:color="auto"/>
              <w:bottom w:val="single" w:sz="4" w:space="0" w:color="auto"/>
              <w:right w:val="single" w:sz="4" w:space="0" w:color="auto"/>
            </w:tcBorders>
          </w:tcPr>
          <w:p w:rsidR="004A36EF" w:rsidRDefault="004A36EF" w:rsidP="007561D1">
            <w:pPr>
              <w:pStyle w:val="8"/>
              <w:spacing w:before="100" w:after="100"/>
            </w:pPr>
            <w:r>
              <w:t>“Трисіль”</w:t>
            </w:r>
          </w:p>
        </w:tc>
        <w:tc>
          <w:tcPr>
            <w:tcW w:w="4313" w:type="dxa"/>
            <w:gridSpan w:val="4"/>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100" w:after="100"/>
              <w:jc w:val="center"/>
              <w:rPr>
                <w:lang w:val="uk-UA"/>
              </w:rPr>
            </w:pPr>
            <w:r>
              <w:rPr>
                <w:lang w:val="uk-UA"/>
              </w:rPr>
              <w:t>“Реополіглюкін”</w:t>
            </w:r>
          </w:p>
        </w:tc>
      </w:tr>
      <w:tr w:rsidR="004A36EF" w:rsidTr="007561D1">
        <w:tblPrEx>
          <w:tblCellMar>
            <w:top w:w="0" w:type="dxa"/>
            <w:bottom w:w="0" w:type="dxa"/>
          </w:tblCellMar>
        </w:tblPrEx>
        <w:trPr>
          <w:cantSplit/>
          <w:trHeight w:val="579"/>
          <w:jc w:val="center"/>
        </w:trPr>
        <w:tc>
          <w:tcPr>
            <w:tcW w:w="1977" w:type="dxa"/>
            <w:vMerge/>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100" w:after="100"/>
              <w:ind w:firstLine="720"/>
              <w:jc w:val="center"/>
              <w:rPr>
                <w:lang w:val="uk-UA"/>
              </w:rPr>
            </w:pPr>
          </w:p>
        </w:tc>
        <w:tc>
          <w:tcPr>
            <w:tcW w:w="1380"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0,5</w:t>
            </w:r>
            <w:r>
              <w:rPr>
                <w:lang w:val="uk-UA"/>
              </w:rPr>
              <w:br/>
              <w:t>року</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1</w:t>
            </w:r>
            <w:r>
              <w:rPr>
                <w:lang w:val="uk-UA"/>
              </w:rPr>
              <w:br/>
              <w:t>рік</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1,5</w:t>
            </w:r>
            <w:r>
              <w:rPr>
                <w:lang w:val="uk-UA"/>
              </w:rPr>
              <w:br/>
              <w:t>року</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2</w:t>
            </w:r>
            <w:r>
              <w:rPr>
                <w:lang w:val="uk-UA"/>
              </w:rPr>
              <w:br/>
              <w:t>роки</w:t>
            </w:r>
          </w:p>
        </w:tc>
        <w:tc>
          <w:tcPr>
            <w:tcW w:w="1678"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0,5</w:t>
            </w:r>
            <w:r>
              <w:rPr>
                <w:lang w:val="uk-UA"/>
              </w:rPr>
              <w:br/>
              <w:t>року</w:t>
            </w:r>
          </w:p>
        </w:tc>
        <w:tc>
          <w:tcPr>
            <w:tcW w:w="939"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1</w:t>
            </w:r>
            <w:r>
              <w:rPr>
                <w:lang w:val="uk-UA"/>
              </w:rPr>
              <w:br/>
              <w:t>рік</w:t>
            </w:r>
          </w:p>
        </w:tc>
        <w:tc>
          <w:tcPr>
            <w:tcW w:w="852"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1,5</w:t>
            </w:r>
            <w:r>
              <w:rPr>
                <w:lang w:val="uk-UA"/>
              </w:rPr>
              <w:br/>
              <w:t>року</w:t>
            </w:r>
          </w:p>
        </w:tc>
        <w:tc>
          <w:tcPr>
            <w:tcW w:w="844"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2</w:t>
            </w:r>
            <w:r>
              <w:rPr>
                <w:lang w:val="uk-UA"/>
              </w:rPr>
              <w:br/>
              <w:t>роки</w:t>
            </w:r>
          </w:p>
        </w:tc>
      </w:tr>
      <w:tr w:rsidR="004A36EF" w:rsidTr="007561D1">
        <w:tblPrEx>
          <w:tblCellMar>
            <w:top w:w="0" w:type="dxa"/>
            <w:bottom w:w="0" w:type="dxa"/>
          </w:tblCellMar>
        </w:tblPrEx>
        <w:trPr>
          <w:cantSplit/>
          <w:trHeight w:val="475"/>
          <w:jc w:val="center"/>
        </w:trPr>
        <w:tc>
          <w:tcPr>
            <w:tcW w:w="1977"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pStyle w:val="30"/>
              <w:keepNext w:val="0"/>
              <w:spacing w:before="100" w:after="100"/>
              <w:rPr>
                <w:sz w:val="24"/>
                <w:szCs w:val="24"/>
                <w:lang w:val="uk-UA"/>
              </w:rPr>
            </w:pPr>
            <w:r>
              <w:rPr>
                <w:sz w:val="24"/>
                <w:szCs w:val="24"/>
                <w:lang w:val="uk-UA"/>
              </w:rPr>
              <w:t>Прозорість</w:t>
            </w:r>
          </w:p>
        </w:tc>
        <w:tc>
          <w:tcPr>
            <w:tcW w:w="1380"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Прозорий</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1678"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Прозорий</w:t>
            </w:r>
          </w:p>
        </w:tc>
        <w:tc>
          <w:tcPr>
            <w:tcW w:w="939"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52"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44"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r>
      <w:tr w:rsidR="004A36EF" w:rsidTr="007561D1">
        <w:tblPrEx>
          <w:tblCellMar>
            <w:top w:w="0" w:type="dxa"/>
            <w:bottom w:w="0" w:type="dxa"/>
          </w:tblCellMar>
        </w:tblPrEx>
        <w:trPr>
          <w:cantSplit/>
          <w:trHeight w:val="479"/>
          <w:jc w:val="center"/>
        </w:trPr>
        <w:tc>
          <w:tcPr>
            <w:tcW w:w="1977"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ind w:right="-108"/>
              <w:rPr>
                <w:lang w:val="uk-UA"/>
              </w:rPr>
            </w:pPr>
            <w:r>
              <w:rPr>
                <w:lang w:val="uk-UA"/>
              </w:rPr>
              <w:t>Відсутність меха</w:t>
            </w:r>
            <w:r>
              <w:rPr>
                <w:lang w:val="uk-UA"/>
              </w:rPr>
              <w:softHyphen/>
              <w:t>нічних включень</w:t>
            </w:r>
          </w:p>
        </w:tc>
        <w:tc>
          <w:tcPr>
            <w:tcW w:w="4029" w:type="dxa"/>
            <w:gridSpan w:val="7"/>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Відповідає вимогам ДФУ</w:t>
            </w:r>
          </w:p>
        </w:tc>
        <w:tc>
          <w:tcPr>
            <w:tcW w:w="4313" w:type="dxa"/>
            <w:gridSpan w:val="4"/>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Відповідає вимогам ДФУ</w:t>
            </w:r>
          </w:p>
        </w:tc>
      </w:tr>
      <w:tr w:rsidR="004A36EF" w:rsidTr="007561D1">
        <w:tblPrEx>
          <w:tblCellMar>
            <w:top w:w="0" w:type="dxa"/>
            <w:bottom w:w="0" w:type="dxa"/>
          </w:tblCellMar>
        </w:tblPrEx>
        <w:trPr>
          <w:cantSplit/>
          <w:trHeight w:val="396"/>
          <w:jc w:val="center"/>
        </w:trPr>
        <w:tc>
          <w:tcPr>
            <w:tcW w:w="1977"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rPr>
                <w:lang w:val="uk-UA"/>
              </w:rPr>
            </w:pPr>
            <w:r>
              <w:rPr>
                <w:lang w:val="uk-UA"/>
              </w:rPr>
              <w:t>Кольоровість</w:t>
            </w:r>
          </w:p>
        </w:tc>
        <w:tc>
          <w:tcPr>
            <w:tcW w:w="1434"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Безколі</w:t>
            </w:r>
            <w:r>
              <w:rPr>
                <w:lang w:val="uk-UA"/>
              </w:rPr>
              <w:t>р</w:t>
            </w:r>
            <w:r>
              <w:rPr>
                <w:lang w:val="uk-UA"/>
              </w:rPr>
              <w:t>ний</w:t>
            </w:r>
          </w:p>
        </w:tc>
        <w:tc>
          <w:tcPr>
            <w:tcW w:w="863"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63"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69"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1678"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Безколірний</w:t>
            </w:r>
          </w:p>
        </w:tc>
        <w:tc>
          <w:tcPr>
            <w:tcW w:w="939"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52"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c>
          <w:tcPr>
            <w:tcW w:w="844"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w:t>
            </w:r>
          </w:p>
        </w:tc>
      </w:tr>
      <w:tr w:rsidR="004A36EF" w:rsidTr="007561D1">
        <w:tblPrEx>
          <w:tblCellMar>
            <w:top w:w="0" w:type="dxa"/>
            <w:bottom w:w="0" w:type="dxa"/>
          </w:tblCellMar>
        </w:tblPrEx>
        <w:trPr>
          <w:cantSplit/>
          <w:trHeight w:val="561"/>
          <w:jc w:val="center"/>
        </w:trPr>
        <w:tc>
          <w:tcPr>
            <w:tcW w:w="1977"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100" w:after="100"/>
              <w:rPr>
                <w:lang w:val="uk-UA"/>
              </w:rPr>
            </w:pPr>
            <w:r>
              <w:rPr>
                <w:lang w:val="uk-UA"/>
              </w:rPr>
              <w:t>рН</w:t>
            </w:r>
          </w:p>
        </w:tc>
        <w:tc>
          <w:tcPr>
            <w:tcW w:w="1434"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ind w:left="-108"/>
              <w:jc w:val="center"/>
              <w:rPr>
                <w:lang w:val="uk-UA"/>
              </w:rPr>
            </w:pPr>
            <w:r>
              <w:rPr>
                <w:lang w:val="uk-UA"/>
              </w:rPr>
              <w:t>8,60±</w:t>
            </w:r>
            <w:r>
              <w:rPr>
                <w:lang w:val="uk-UA"/>
              </w:rPr>
              <w:br/>
              <w:t>0,03</w:t>
            </w:r>
          </w:p>
        </w:tc>
        <w:tc>
          <w:tcPr>
            <w:tcW w:w="863"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8,59±</w:t>
            </w:r>
            <w:r>
              <w:rPr>
                <w:lang w:val="uk-UA"/>
              </w:rPr>
              <w:br/>
              <w:t>0,02</w:t>
            </w:r>
          </w:p>
        </w:tc>
        <w:tc>
          <w:tcPr>
            <w:tcW w:w="863" w:type="dxa"/>
            <w:gridSpan w:val="2"/>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8,53±</w:t>
            </w:r>
            <w:r>
              <w:rPr>
                <w:lang w:val="uk-UA"/>
              </w:rPr>
              <w:br/>
              <w:t>0,04</w:t>
            </w:r>
          </w:p>
        </w:tc>
        <w:tc>
          <w:tcPr>
            <w:tcW w:w="869"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8,45±</w:t>
            </w:r>
            <w:r>
              <w:rPr>
                <w:lang w:val="uk-UA"/>
              </w:rPr>
              <w:br/>
              <w:t>0,03</w:t>
            </w:r>
          </w:p>
        </w:tc>
        <w:tc>
          <w:tcPr>
            <w:tcW w:w="1678"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5,73±</w:t>
            </w:r>
            <w:r>
              <w:rPr>
                <w:lang w:val="uk-UA"/>
              </w:rPr>
              <w:br/>
              <w:t>0,04</w:t>
            </w:r>
          </w:p>
        </w:tc>
        <w:tc>
          <w:tcPr>
            <w:tcW w:w="939"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5,70±</w:t>
            </w:r>
            <w:r>
              <w:rPr>
                <w:lang w:val="uk-UA"/>
              </w:rPr>
              <w:br/>
              <w:t>0,05</w:t>
            </w:r>
          </w:p>
        </w:tc>
        <w:tc>
          <w:tcPr>
            <w:tcW w:w="852"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5,68±</w:t>
            </w:r>
            <w:r>
              <w:rPr>
                <w:lang w:val="uk-UA"/>
              </w:rPr>
              <w:br/>
              <w:t>0,03</w:t>
            </w:r>
          </w:p>
        </w:tc>
        <w:tc>
          <w:tcPr>
            <w:tcW w:w="844" w:type="dxa"/>
            <w:tcBorders>
              <w:top w:val="nil"/>
              <w:left w:val="single" w:sz="4" w:space="0" w:color="auto"/>
              <w:bottom w:val="single" w:sz="4" w:space="0" w:color="auto"/>
              <w:right w:val="single" w:sz="4" w:space="0" w:color="auto"/>
            </w:tcBorders>
            <w:vAlign w:val="center"/>
          </w:tcPr>
          <w:p w:rsidR="004A36EF" w:rsidRDefault="004A36EF" w:rsidP="007561D1">
            <w:pPr>
              <w:widowControl w:val="0"/>
              <w:spacing w:before="100" w:after="100"/>
              <w:jc w:val="center"/>
              <w:rPr>
                <w:lang w:val="uk-UA"/>
              </w:rPr>
            </w:pPr>
            <w:r>
              <w:rPr>
                <w:lang w:val="uk-UA"/>
              </w:rPr>
              <w:t>5,65±</w:t>
            </w:r>
            <w:r>
              <w:rPr>
                <w:lang w:val="uk-UA"/>
              </w:rPr>
              <w:br/>
              <w:t>0,05</w:t>
            </w:r>
          </w:p>
        </w:tc>
      </w:tr>
    </w:tbl>
    <w:p w:rsidR="004A36EF" w:rsidRDefault="004A36EF" w:rsidP="004A36EF">
      <w:pPr>
        <w:pStyle w:val="7"/>
        <w:rPr>
          <w:sz w:val="20"/>
          <w:szCs w:val="20"/>
        </w:rPr>
      </w:pPr>
    </w:p>
    <w:p w:rsidR="004A36EF" w:rsidRDefault="004A36EF" w:rsidP="004A36EF">
      <w:pPr>
        <w:pStyle w:val="7"/>
      </w:pPr>
      <w:r>
        <w:t>Таблиця 5</w:t>
      </w:r>
    </w:p>
    <w:p w:rsidR="004A36EF" w:rsidRDefault="004A36EF" w:rsidP="004A36EF">
      <w:pPr>
        <w:pStyle w:val="34"/>
        <w:spacing w:line="360" w:lineRule="auto"/>
        <w:jc w:val="center"/>
      </w:pPr>
      <w:r>
        <w:t>Кількість діючих речовин, знайдена в розчині “Трисіль” у процесі зберігання в полівінілхлоридній упаковці при температурі 20 ±1°С (Р=95%, n=5)</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1935"/>
        <w:gridCol w:w="2005"/>
        <w:gridCol w:w="2295"/>
        <w:gridCol w:w="2075"/>
      </w:tblGrid>
      <w:tr w:rsidR="004A36EF" w:rsidTr="007561D1">
        <w:tblPrEx>
          <w:tblCellMar>
            <w:top w:w="0" w:type="dxa"/>
            <w:bottom w:w="0" w:type="dxa"/>
          </w:tblCellMar>
        </w:tblPrEx>
        <w:trPr>
          <w:cantSplit/>
        </w:trPr>
        <w:tc>
          <w:tcPr>
            <w:tcW w:w="619" w:type="pct"/>
            <w:vMerge w:val="restart"/>
          </w:tcPr>
          <w:p w:rsidR="004A36EF" w:rsidRDefault="004A36EF" w:rsidP="007561D1">
            <w:pPr>
              <w:widowControl w:val="0"/>
              <w:spacing w:before="60" w:after="60"/>
              <w:jc w:val="center"/>
              <w:rPr>
                <w:lang w:val="uk-UA"/>
              </w:rPr>
            </w:pPr>
            <w:r>
              <w:rPr>
                <w:lang w:val="uk-UA"/>
              </w:rPr>
              <w:t>Термін, місяці</w:t>
            </w:r>
          </w:p>
        </w:tc>
        <w:tc>
          <w:tcPr>
            <w:tcW w:w="4381" w:type="pct"/>
            <w:gridSpan w:val="4"/>
          </w:tcPr>
          <w:p w:rsidR="004A36EF" w:rsidRDefault="004A36EF" w:rsidP="007561D1">
            <w:pPr>
              <w:pStyle w:val="1"/>
              <w:keepNext w:val="0"/>
              <w:spacing w:before="60"/>
            </w:pPr>
            <w:r>
              <w:t>Кількісний вміст іонів, мг/мл</w:t>
            </w:r>
          </w:p>
        </w:tc>
      </w:tr>
      <w:tr w:rsidR="004A36EF" w:rsidTr="007561D1">
        <w:tblPrEx>
          <w:tblCellMar>
            <w:top w:w="0" w:type="dxa"/>
            <w:bottom w:w="0" w:type="dxa"/>
          </w:tblCellMar>
        </w:tblPrEx>
        <w:trPr>
          <w:cantSplit/>
        </w:trPr>
        <w:tc>
          <w:tcPr>
            <w:tcW w:w="619" w:type="pct"/>
            <w:vMerge/>
          </w:tcPr>
          <w:p w:rsidR="004A36EF" w:rsidRDefault="004A36EF" w:rsidP="007561D1">
            <w:pPr>
              <w:widowControl w:val="0"/>
              <w:spacing w:before="60" w:after="60"/>
              <w:jc w:val="center"/>
              <w:rPr>
                <w:lang w:val="uk-UA"/>
              </w:rPr>
            </w:pPr>
          </w:p>
        </w:tc>
        <w:tc>
          <w:tcPr>
            <w:tcW w:w="1020" w:type="pct"/>
          </w:tcPr>
          <w:p w:rsidR="004A36EF" w:rsidRDefault="004A36EF" w:rsidP="007561D1">
            <w:pPr>
              <w:widowControl w:val="0"/>
              <w:spacing w:before="60" w:after="60"/>
              <w:jc w:val="center"/>
              <w:rPr>
                <w:lang w:val="uk-UA"/>
              </w:rPr>
            </w:pPr>
            <w:r>
              <w:rPr>
                <w:lang w:val="uk-UA"/>
              </w:rPr>
              <w:t>натрій-іон</w:t>
            </w:r>
          </w:p>
        </w:tc>
        <w:tc>
          <w:tcPr>
            <w:tcW w:w="1057" w:type="pct"/>
          </w:tcPr>
          <w:p w:rsidR="004A36EF" w:rsidRDefault="004A36EF" w:rsidP="007561D1">
            <w:pPr>
              <w:widowControl w:val="0"/>
              <w:spacing w:before="60" w:after="60"/>
              <w:jc w:val="center"/>
              <w:rPr>
                <w:lang w:val="uk-UA"/>
              </w:rPr>
            </w:pPr>
            <w:r>
              <w:rPr>
                <w:lang w:val="uk-UA"/>
              </w:rPr>
              <w:t>калій-іон</w:t>
            </w:r>
          </w:p>
        </w:tc>
        <w:tc>
          <w:tcPr>
            <w:tcW w:w="1210" w:type="pct"/>
          </w:tcPr>
          <w:p w:rsidR="004A36EF" w:rsidRDefault="004A36EF" w:rsidP="007561D1">
            <w:pPr>
              <w:widowControl w:val="0"/>
              <w:spacing w:before="60" w:after="60"/>
              <w:jc w:val="center"/>
              <w:rPr>
                <w:lang w:val="uk-UA"/>
              </w:rPr>
            </w:pPr>
            <w:r>
              <w:rPr>
                <w:lang w:val="uk-UA"/>
              </w:rPr>
              <w:t>гідрок</w:t>
            </w:r>
            <w:r>
              <w:rPr>
                <w:lang w:val="uk-UA"/>
              </w:rPr>
              <w:t>а</w:t>
            </w:r>
            <w:r>
              <w:rPr>
                <w:lang w:val="uk-UA"/>
              </w:rPr>
              <w:t>рбонат-іон</w:t>
            </w:r>
          </w:p>
        </w:tc>
        <w:tc>
          <w:tcPr>
            <w:tcW w:w="1094" w:type="pct"/>
          </w:tcPr>
          <w:p w:rsidR="004A36EF" w:rsidRDefault="004A36EF" w:rsidP="007561D1">
            <w:pPr>
              <w:widowControl w:val="0"/>
              <w:spacing w:before="60" w:after="60"/>
              <w:jc w:val="center"/>
              <w:rPr>
                <w:lang w:val="uk-UA"/>
              </w:rPr>
            </w:pPr>
            <w:r>
              <w:rPr>
                <w:lang w:val="uk-UA"/>
              </w:rPr>
              <w:t>хлорид-іон</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0</w:t>
            </w:r>
          </w:p>
        </w:tc>
        <w:tc>
          <w:tcPr>
            <w:tcW w:w="1020" w:type="pct"/>
          </w:tcPr>
          <w:p w:rsidR="004A36EF" w:rsidRDefault="004A36EF" w:rsidP="007561D1">
            <w:pPr>
              <w:widowControl w:val="0"/>
              <w:spacing w:before="60" w:after="60"/>
              <w:jc w:val="center"/>
            </w:pPr>
            <w:r>
              <w:t>3,110±0,0</w:t>
            </w:r>
            <w:r>
              <w:rPr>
                <w:lang w:val="en-US"/>
              </w:rPr>
              <w:t>1</w:t>
            </w:r>
            <w:r>
              <w:t>3</w:t>
            </w:r>
          </w:p>
        </w:tc>
        <w:tc>
          <w:tcPr>
            <w:tcW w:w="1057" w:type="pct"/>
          </w:tcPr>
          <w:p w:rsidR="004A36EF" w:rsidRDefault="004A36EF" w:rsidP="007561D1">
            <w:pPr>
              <w:widowControl w:val="0"/>
              <w:spacing w:before="60" w:after="60"/>
              <w:jc w:val="center"/>
            </w:pPr>
            <w:r>
              <w:t>0,530±0,005</w:t>
            </w:r>
          </w:p>
        </w:tc>
        <w:tc>
          <w:tcPr>
            <w:tcW w:w="1210" w:type="pct"/>
          </w:tcPr>
          <w:p w:rsidR="004A36EF" w:rsidRDefault="004A36EF" w:rsidP="007561D1">
            <w:pPr>
              <w:widowControl w:val="0"/>
              <w:spacing w:before="60" w:after="60"/>
              <w:jc w:val="center"/>
            </w:pPr>
            <w:r>
              <w:t>2,984±0,002</w:t>
            </w:r>
          </w:p>
        </w:tc>
        <w:tc>
          <w:tcPr>
            <w:tcW w:w="1094" w:type="pct"/>
          </w:tcPr>
          <w:p w:rsidR="004A36EF" w:rsidRDefault="004A36EF" w:rsidP="007561D1">
            <w:pPr>
              <w:widowControl w:val="0"/>
              <w:spacing w:before="60" w:after="60"/>
              <w:jc w:val="center"/>
            </w:pPr>
            <w:r>
              <w:t>3,4</w:t>
            </w:r>
            <w:r>
              <w:rPr>
                <w:lang w:val="en-US"/>
              </w:rPr>
              <w:t>5</w:t>
            </w:r>
            <w:r>
              <w:t>0±0,0</w:t>
            </w:r>
            <w:r>
              <w:rPr>
                <w:lang w:val="en-US"/>
              </w:rPr>
              <w:t>1</w:t>
            </w:r>
            <w:r>
              <w:t>2</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3</w:t>
            </w:r>
          </w:p>
        </w:tc>
        <w:tc>
          <w:tcPr>
            <w:tcW w:w="1020" w:type="pct"/>
          </w:tcPr>
          <w:p w:rsidR="004A36EF" w:rsidRDefault="004A36EF" w:rsidP="007561D1">
            <w:pPr>
              <w:widowControl w:val="0"/>
              <w:spacing w:before="60" w:after="60"/>
              <w:jc w:val="center"/>
            </w:pPr>
            <w:r>
              <w:t>3,150±0,0</w:t>
            </w:r>
            <w:r>
              <w:rPr>
                <w:lang w:val="en-US"/>
              </w:rPr>
              <w:t>1</w:t>
            </w:r>
            <w:r>
              <w:t>2</w:t>
            </w:r>
          </w:p>
        </w:tc>
        <w:tc>
          <w:tcPr>
            <w:tcW w:w="1057" w:type="pct"/>
          </w:tcPr>
          <w:p w:rsidR="004A36EF" w:rsidRDefault="004A36EF" w:rsidP="007561D1">
            <w:pPr>
              <w:widowControl w:val="0"/>
              <w:spacing w:before="60" w:after="60"/>
              <w:jc w:val="center"/>
            </w:pPr>
            <w:r>
              <w:t>0,534±0,005</w:t>
            </w:r>
          </w:p>
        </w:tc>
        <w:tc>
          <w:tcPr>
            <w:tcW w:w="1210" w:type="pct"/>
          </w:tcPr>
          <w:p w:rsidR="004A36EF" w:rsidRDefault="004A36EF" w:rsidP="007561D1">
            <w:pPr>
              <w:widowControl w:val="0"/>
              <w:spacing w:before="60" w:after="60"/>
              <w:jc w:val="center"/>
            </w:pPr>
            <w:r>
              <w:t>2,98</w:t>
            </w:r>
            <w:r>
              <w:rPr>
                <w:lang w:val="en-US"/>
              </w:rPr>
              <w:t>1</w:t>
            </w:r>
            <w:r>
              <w:t>±0,005</w:t>
            </w:r>
          </w:p>
        </w:tc>
        <w:tc>
          <w:tcPr>
            <w:tcW w:w="1094" w:type="pct"/>
          </w:tcPr>
          <w:p w:rsidR="004A36EF" w:rsidRDefault="004A36EF" w:rsidP="007561D1">
            <w:pPr>
              <w:widowControl w:val="0"/>
              <w:spacing w:before="60" w:after="60"/>
              <w:jc w:val="center"/>
            </w:pPr>
            <w:r>
              <w:t>3,4</w:t>
            </w:r>
            <w:r>
              <w:rPr>
                <w:lang w:val="en-US"/>
              </w:rPr>
              <w:t>1</w:t>
            </w:r>
            <w:r>
              <w:t>0±0,0</w:t>
            </w:r>
            <w:r>
              <w:rPr>
                <w:lang w:val="en-US"/>
              </w:rPr>
              <w:t>1</w:t>
            </w:r>
            <w:r>
              <w:t>1</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6</w:t>
            </w:r>
          </w:p>
        </w:tc>
        <w:tc>
          <w:tcPr>
            <w:tcW w:w="1020" w:type="pct"/>
          </w:tcPr>
          <w:p w:rsidR="004A36EF" w:rsidRDefault="004A36EF" w:rsidP="007561D1">
            <w:pPr>
              <w:widowControl w:val="0"/>
              <w:spacing w:before="60" w:after="60"/>
              <w:jc w:val="center"/>
            </w:pPr>
            <w:r>
              <w:t>3,140±0,0</w:t>
            </w:r>
            <w:r>
              <w:rPr>
                <w:lang w:val="en-US"/>
              </w:rPr>
              <w:t>1</w:t>
            </w:r>
            <w:r>
              <w:t>4</w:t>
            </w:r>
          </w:p>
        </w:tc>
        <w:tc>
          <w:tcPr>
            <w:tcW w:w="1057" w:type="pct"/>
          </w:tcPr>
          <w:p w:rsidR="004A36EF" w:rsidRDefault="004A36EF" w:rsidP="007561D1">
            <w:pPr>
              <w:widowControl w:val="0"/>
              <w:spacing w:before="60" w:after="60"/>
              <w:jc w:val="center"/>
            </w:pPr>
            <w:r>
              <w:t>0,527±0,007</w:t>
            </w:r>
          </w:p>
        </w:tc>
        <w:tc>
          <w:tcPr>
            <w:tcW w:w="1210" w:type="pct"/>
          </w:tcPr>
          <w:p w:rsidR="004A36EF" w:rsidRDefault="004A36EF" w:rsidP="007561D1">
            <w:pPr>
              <w:widowControl w:val="0"/>
              <w:spacing w:before="60" w:after="60"/>
              <w:jc w:val="center"/>
            </w:pPr>
            <w:r>
              <w:t>2,98</w:t>
            </w:r>
            <w:r>
              <w:rPr>
                <w:lang w:val="en-US"/>
              </w:rPr>
              <w:t>9</w:t>
            </w:r>
            <w:r>
              <w:t>±0,004</w:t>
            </w:r>
          </w:p>
        </w:tc>
        <w:tc>
          <w:tcPr>
            <w:tcW w:w="1094" w:type="pct"/>
          </w:tcPr>
          <w:p w:rsidR="004A36EF" w:rsidRDefault="004A36EF" w:rsidP="007561D1">
            <w:pPr>
              <w:widowControl w:val="0"/>
              <w:spacing w:before="60" w:after="60"/>
              <w:jc w:val="center"/>
            </w:pPr>
            <w:r>
              <w:t>3,4</w:t>
            </w:r>
            <w:r>
              <w:rPr>
                <w:lang w:val="en-US"/>
              </w:rPr>
              <w:t>4</w:t>
            </w:r>
            <w:r>
              <w:t>0±0,0</w:t>
            </w:r>
            <w:r>
              <w:rPr>
                <w:lang w:val="en-US"/>
              </w:rPr>
              <w:t>1</w:t>
            </w:r>
            <w:r>
              <w:t>3</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9</w:t>
            </w:r>
          </w:p>
        </w:tc>
        <w:tc>
          <w:tcPr>
            <w:tcW w:w="1020" w:type="pct"/>
          </w:tcPr>
          <w:p w:rsidR="004A36EF" w:rsidRDefault="004A36EF" w:rsidP="007561D1">
            <w:pPr>
              <w:widowControl w:val="0"/>
              <w:spacing w:before="60" w:after="60"/>
              <w:jc w:val="center"/>
            </w:pPr>
            <w:r>
              <w:t>3,100±0,0</w:t>
            </w:r>
            <w:r>
              <w:rPr>
                <w:lang w:val="en-US"/>
              </w:rPr>
              <w:t>1</w:t>
            </w:r>
            <w:r>
              <w:t>2</w:t>
            </w:r>
          </w:p>
        </w:tc>
        <w:tc>
          <w:tcPr>
            <w:tcW w:w="1057" w:type="pct"/>
          </w:tcPr>
          <w:p w:rsidR="004A36EF" w:rsidRDefault="004A36EF" w:rsidP="007561D1">
            <w:pPr>
              <w:widowControl w:val="0"/>
              <w:spacing w:before="60" w:after="60"/>
              <w:jc w:val="center"/>
            </w:pPr>
            <w:r>
              <w:t>0,523±0,007</w:t>
            </w:r>
          </w:p>
        </w:tc>
        <w:tc>
          <w:tcPr>
            <w:tcW w:w="1210" w:type="pct"/>
          </w:tcPr>
          <w:p w:rsidR="004A36EF" w:rsidRDefault="004A36EF" w:rsidP="007561D1">
            <w:pPr>
              <w:widowControl w:val="0"/>
              <w:spacing w:before="60" w:after="60"/>
              <w:jc w:val="center"/>
            </w:pPr>
            <w:r>
              <w:t>2,9</w:t>
            </w:r>
            <w:r>
              <w:rPr>
                <w:lang w:val="en-US"/>
              </w:rPr>
              <w:t>80</w:t>
            </w:r>
            <w:r>
              <w:t>±0,004</w:t>
            </w:r>
          </w:p>
        </w:tc>
        <w:tc>
          <w:tcPr>
            <w:tcW w:w="1094" w:type="pct"/>
          </w:tcPr>
          <w:p w:rsidR="004A36EF" w:rsidRDefault="004A36EF" w:rsidP="007561D1">
            <w:pPr>
              <w:widowControl w:val="0"/>
              <w:spacing w:before="60" w:after="60"/>
              <w:jc w:val="center"/>
            </w:pPr>
            <w:r>
              <w:t>3,470±0,0</w:t>
            </w:r>
            <w:r>
              <w:rPr>
                <w:lang w:val="en-US"/>
              </w:rPr>
              <w:t>1</w:t>
            </w:r>
            <w:r>
              <w:t>1</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12</w:t>
            </w:r>
          </w:p>
        </w:tc>
        <w:tc>
          <w:tcPr>
            <w:tcW w:w="1020" w:type="pct"/>
          </w:tcPr>
          <w:p w:rsidR="004A36EF" w:rsidRDefault="004A36EF" w:rsidP="007561D1">
            <w:pPr>
              <w:widowControl w:val="0"/>
              <w:spacing w:before="60" w:after="60"/>
              <w:jc w:val="center"/>
            </w:pPr>
            <w:r>
              <w:t>3,090±0,0</w:t>
            </w:r>
            <w:r>
              <w:rPr>
                <w:lang w:val="en-US"/>
              </w:rPr>
              <w:t>1</w:t>
            </w:r>
            <w:r>
              <w:t>3</w:t>
            </w:r>
          </w:p>
        </w:tc>
        <w:tc>
          <w:tcPr>
            <w:tcW w:w="1057" w:type="pct"/>
          </w:tcPr>
          <w:p w:rsidR="004A36EF" w:rsidRDefault="004A36EF" w:rsidP="007561D1">
            <w:pPr>
              <w:widowControl w:val="0"/>
              <w:spacing w:before="60" w:after="60"/>
              <w:jc w:val="center"/>
            </w:pPr>
            <w:r>
              <w:t>0,529±0,008</w:t>
            </w:r>
          </w:p>
        </w:tc>
        <w:tc>
          <w:tcPr>
            <w:tcW w:w="1210" w:type="pct"/>
          </w:tcPr>
          <w:p w:rsidR="004A36EF" w:rsidRDefault="004A36EF" w:rsidP="007561D1">
            <w:pPr>
              <w:widowControl w:val="0"/>
              <w:spacing w:before="60" w:after="60"/>
              <w:jc w:val="center"/>
            </w:pPr>
            <w:r>
              <w:t>2,986±0,005</w:t>
            </w:r>
          </w:p>
        </w:tc>
        <w:tc>
          <w:tcPr>
            <w:tcW w:w="1094" w:type="pct"/>
          </w:tcPr>
          <w:p w:rsidR="004A36EF" w:rsidRDefault="004A36EF" w:rsidP="007561D1">
            <w:pPr>
              <w:widowControl w:val="0"/>
              <w:spacing w:before="60" w:after="60"/>
              <w:jc w:val="center"/>
            </w:pPr>
            <w:r>
              <w:t>3,4</w:t>
            </w:r>
            <w:r>
              <w:rPr>
                <w:lang w:val="en-US"/>
              </w:rPr>
              <w:t>6</w:t>
            </w:r>
            <w:r>
              <w:t>0±0,0</w:t>
            </w:r>
            <w:r>
              <w:rPr>
                <w:lang w:val="en-US"/>
              </w:rPr>
              <w:t>1</w:t>
            </w:r>
            <w:r>
              <w:t>4</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15</w:t>
            </w:r>
          </w:p>
        </w:tc>
        <w:tc>
          <w:tcPr>
            <w:tcW w:w="1020" w:type="pct"/>
          </w:tcPr>
          <w:p w:rsidR="004A36EF" w:rsidRDefault="004A36EF" w:rsidP="007561D1">
            <w:pPr>
              <w:widowControl w:val="0"/>
              <w:spacing w:before="60" w:after="60"/>
              <w:jc w:val="center"/>
            </w:pPr>
            <w:r>
              <w:t>3,140±0,0</w:t>
            </w:r>
            <w:r>
              <w:rPr>
                <w:lang w:val="en-US"/>
              </w:rPr>
              <w:t>1</w:t>
            </w:r>
            <w:r>
              <w:t>3</w:t>
            </w:r>
          </w:p>
        </w:tc>
        <w:tc>
          <w:tcPr>
            <w:tcW w:w="1057" w:type="pct"/>
          </w:tcPr>
          <w:p w:rsidR="004A36EF" w:rsidRDefault="004A36EF" w:rsidP="007561D1">
            <w:pPr>
              <w:widowControl w:val="0"/>
              <w:spacing w:before="60" w:after="60"/>
              <w:jc w:val="center"/>
            </w:pPr>
            <w:r>
              <w:t>0,531±0,007</w:t>
            </w:r>
          </w:p>
        </w:tc>
        <w:tc>
          <w:tcPr>
            <w:tcW w:w="1210" w:type="pct"/>
          </w:tcPr>
          <w:p w:rsidR="004A36EF" w:rsidRDefault="004A36EF" w:rsidP="007561D1">
            <w:pPr>
              <w:widowControl w:val="0"/>
              <w:spacing w:before="60" w:after="60"/>
              <w:jc w:val="center"/>
            </w:pPr>
            <w:r>
              <w:t>2,99</w:t>
            </w:r>
            <w:r>
              <w:rPr>
                <w:lang w:val="en-US"/>
              </w:rPr>
              <w:t>4</w:t>
            </w:r>
            <w:r>
              <w:t>±0,006</w:t>
            </w:r>
          </w:p>
        </w:tc>
        <w:tc>
          <w:tcPr>
            <w:tcW w:w="1094" w:type="pct"/>
          </w:tcPr>
          <w:p w:rsidR="004A36EF" w:rsidRDefault="004A36EF" w:rsidP="007561D1">
            <w:pPr>
              <w:widowControl w:val="0"/>
              <w:spacing w:before="60" w:after="60"/>
              <w:jc w:val="center"/>
            </w:pPr>
            <w:r>
              <w:t>3,4</w:t>
            </w:r>
            <w:r>
              <w:rPr>
                <w:lang w:val="en-US"/>
              </w:rPr>
              <w:t>2</w:t>
            </w:r>
            <w:r>
              <w:t>0±0,0</w:t>
            </w:r>
            <w:r>
              <w:rPr>
                <w:lang w:val="en-US"/>
              </w:rPr>
              <w:t>1</w:t>
            </w:r>
            <w:r>
              <w:t>2</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18</w:t>
            </w:r>
          </w:p>
        </w:tc>
        <w:tc>
          <w:tcPr>
            <w:tcW w:w="1020" w:type="pct"/>
          </w:tcPr>
          <w:p w:rsidR="004A36EF" w:rsidRDefault="004A36EF" w:rsidP="007561D1">
            <w:pPr>
              <w:widowControl w:val="0"/>
              <w:spacing w:before="60" w:after="60"/>
              <w:jc w:val="center"/>
            </w:pPr>
            <w:r>
              <w:t>3,120±0,0</w:t>
            </w:r>
            <w:r>
              <w:rPr>
                <w:lang w:val="en-US"/>
              </w:rPr>
              <w:t>1</w:t>
            </w:r>
            <w:r>
              <w:t>4</w:t>
            </w:r>
          </w:p>
        </w:tc>
        <w:tc>
          <w:tcPr>
            <w:tcW w:w="1057" w:type="pct"/>
          </w:tcPr>
          <w:p w:rsidR="004A36EF" w:rsidRDefault="004A36EF" w:rsidP="007561D1">
            <w:pPr>
              <w:widowControl w:val="0"/>
              <w:spacing w:before="60" w:after="60"/>
              <w:jc w:val="center"/>
            </w:pPr>
            <w:r>
              <w:t>0,530±0,006</w:t>
            </w:r>
          </w:p>
        </w:tc>
        <w:tc>
          <w:tcPr>
            <w:tcW w:w="1210" w:type="pct"/>
          </w:tcPr>
          <w:p w:rsidR="004A36EF" w:rsidRDefault="004A36EF" w:rsidP="007561D1">
            <w:pPr>
              <w:widowControl w:val="0"/>
              <w:spacing w:before="60" w:after="60"/>
              <w:jc w:val="center"/>
            </w:pPr>
            <w:r>
              <w:t>2,984±0,008</w:t>
            </w:r>
          </w:p>
        </w:tc>
        <w:tc>
          <w:tcPr>
            <w:tcW w:w="1094" w:type="pct"/>
          </w:tcPr>
          <w:p w:rsidR="004A36EF" w:rsidRDefault="004A36EF" w:rsidP="007561D1">
            <w:pPr>
              <w:widowControl w:val="0"/>
              <w:spacing w:before="60" w:after="60"/>
              <w:jc w:val="center"/>
            </w:pPr>
            <w:r>
              <w:t>3,400±0,0</w:t>
            </w:r>
            <w:r>
              <w:rPr>
                <w:lang w:val="en-US"/>
              </w:rPr>
              <w:t>1</w:t>
            </w:r>
            <w:r>
              <w:t>3</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21</w:t>
            </w:r>
          </w:p>
        </w:tc>
        <w:tc>
          <w:tcPr>
            <w:tcW w:w="1020" w:type="pct"/>
          </w:tcPr>
          <w:p w:rsidR="004A36EF" w:rsidRDefault="004A36EF" w:rsidP="007561D1">
            <w:pPr>
              <w:widowControl w:val="0"/>
              <w:spacing w:before="60" w:after="60"/>
              <w:jc w:val="center"/>
            </w:pPr>
            <w:r>
              <w:t>3,150±0,0</w:t>
            </w:r>
            <w:r>
              <w:rPr>
                <w:lang w:val="en-US"/>
              </w:rPr>
              <w:t>1</w:t>
            </w:r>
            <w:r>
              <w:t>1</w:t>
            </w:r>
          </w:p>
        </w:tc>
        <w:tc>
          <w:tcPr>
            <w:tcW w:w="1057" w:type="pct"/>
          </w:tcPr>
          <w:p w:rsidR="004A36EF" w:rsidRDefault="004A36EF" w:rsidP="007561D1">
            <w:pPr>
              <w:widowControl w:val="0"/>
              <w:spacing w:before="60" w:after="60"/>
              <w:jc w:val="center"/>
            </w:pPr>
            <w:r>
              <w:t>0,528±0,008</w:t>
            </w:r>
          </w:p>
        </w:tc>
        <w:tc>
          <w:tcPr>
            <w:tcW w:w="1210" w:type="pct"/>
          </w:tcPr>
          <w:p w:rsidR="004A36EF" w:rsidRDefault="004A36EF" w:rsidP="007561D1">
            <w:pPr>
              <w:widowControl w:val="0"/>
              <w:spacing w:before="60" w:after="60"/>
              <w:jc w:val="center"/>
            </w:pPr>
            <w:r>
              <w:t>2,990±0,002</w:t>
            </w:r>
          </w:p>
        </w:tc>
        <w:tc>
          <w:tcPr>
            <w:tcW w:w="1094" w:type="pct"/>
          </w:tcPr>
          <w:p w:rsidR="004A36EF" w:rsidRDefault="004A36EF" w:rsidP="007561D1">
            <w:pPr>
              <w:widowControl w:val="0"/>
              <w:spacing w:before="60" w:after="60"/>
              <w:jc w:val="center"/>
            </w:pPr>
            <w:r>
              <w:t>3,4</w:t>
            </w:r>
            <w:r>
              <w:rPr>
                <w:lang w:val="en-US"/>
              </w:rPr>
              <w:t>3</w:t>
            </w:r>
            <w:r>
              <w:t>0±0,0</w:t>
            </w:r>
            <w:r>
              <w:rPr>
                <w:lang w:val="en-US"/>
              </w:rPr>
              <w:t>1</w:t>
            </w:r>
            <w:r>
              <w:t>2</w:t>
            </w:r>
          </w:p>
        </w:tc>
      </w:tr>
      <w:tr w:rsidR="004A36EF" w:rsidTr="007561D1">
        <w:tblPrEx>
          <w:tblCellMar>
            <w:top w:w="0" w:type="dxa"/>
            <w:bottom w:w="0" w:type="dxa"/>
          </w:tblCellMar>
        </w:tblPrEx>
        <w:tc>
          <w:tcPr>
            <w:tcW w:w="619" w:type="pct"/>
          </w:tcPr>
          <w:p w:rsidR="004A36EF" w:rsidRDefault="004A36EF" w:rsidP="007561D1">
            <w:pPr>
              <w:widowControl w:val="0"/>
              <w:spacing w:before="60" w:after="60"/>
              <w:jc w:val="center"/>
            </w:pPr>
            <w:r>
              <w:t>24</w:t>
            </w:r>
          </w:p>
        </w:tc>
        <w:tc>
          <w:tcPr>
            <w:tcW w:w="1020" w:type="pct"/>
          </w:tcPr>
          <w:p w:rsidR="004A36EF" w:rsidRDefault="004A36EF" w:rsidP="007561D1">
            <w:pPr>
              <w:widowControl w:val="0"/>
              <w:spacing w:before="60" w:after="60"/>
              <w:jc w:val="center"/>
            </w:pPr>
            <w:r>
              <w:t>3,110±0,0</w:t>
            </w:r>
            <w:r>
              <w:rPr>
                <w:lang w:val="en-US"/>
              </w:rPr>
              <w:t>1</w:t>
            </w:r>
            <w:r>
              <w:t>5</w:t>
            </w:r>
          </w:p>
        </w:tc>
        <w:tc>
          <w:tcPr>
            <w:tcW w:w="1057" w:type="pct"/>
          </w:tcPr>
          <w:p w:rsidR="004A36EF" w:rsidRDefault="004A36EF" w:rsidP="007561D1">
            <w:pPr>
              <w:widowControl w:val="0"/>
              <w:spacing w:before="60" w:after="60"/>
              <w:jc w:val="center"/>
            </w:pPr>
            <w:r>
              <w:t>0,531±0,009</w:t>
            </w:r>
          </w:p>
        </w:tc>
        <w:tc>
          <w:tcPr>
            <w:tcW w:w="1210" w:type="pct"/>
          </w:tcPr>
          <w:p w:rsidR="004A36EF" w:rsidRDefault="004A36EF" w:rsidP="007561D1">
            <w:pPr>
              <w:widowControl w:val="0"/>
              <w:spacing w:before="60" w:after="60"/>
              <w:jc w:val="center"/>
            </w:pPr>
            <w:r>
              <w:t>2,980±0,008</w:t>
            </w:r>
          </w:p>
        </w:tc>
        <w:tc>
          <w:tcPr>
            <w:tcW w:w="1094" w:type="pct"/>
          </w:tcPr>
          <w:p w:rsidR="004A36EF" w:rsidRDefault="004A36EF" w:rsidP="007561D1">
            <w:pPr>
              <w:widowControl w:val="0"/>
              <w:spacing w:before="60" w:after="60"/>
              <w:jc w:val="center"/>
            </w:pPr>
            <w:r>
              <w:t>3,470±0,0</w:t>
            </w:r>
            <w:r>
              <w:rPr>
                <w:lang w:val="en-US"/>
              </w:rPr>
              <w:t>1</w:t>
            </w:r>
            <w:r>
              <w:t>1</w:t>
            </w:r>
          </w:p>
        </w:tc>
      </w:tr>
    </w:tbl>
    <w:p w:rsidR="004A36EF" w:rsidRDefault="004A36EF" w:rsidP="004A36EF">
      <w:pPr>
        <w:widowControl w:val="0"/>
        <w:spacing w:line="360" w:lineRule="auto"/>
        <w:ind w:left="7920"/>
        <w:jc w:val="both"/>
        <w:rPr>
          <w:sz w:val="28"/>
          <w:szCs w:val="28"/>
          <w:lang w:val="uk-UA"/>
        </w:rPr>
      </w:pPr>
    </w:p>
    <w:p w:rsidR="004A36EF" w:rsidRDefault="004A36EF" w:rsidP="004A36EF">
      <w:pPr>
        <w:pStyle w:val="20"/>
        <w:keepNext w:val="0"/>
        <w:spacing w:line="360" w:lineRule="auto"/>
        <w:jc w:val="right"/>
        <w:rPr>
          <w:sz w:val="24"/>
          <w:szCs w:val="24"/>
        </w:rPr>
      </w:pPr>
      <w:r>
        <w:rPr>
          <w:sz w:val="24"/>
          <w:szCs w:val="24"/>
        </w:rPr>
        <w:t>Таблиця 6</w:t>
      </w:r>
    </w:p>
    <w:p w:rsidR="004A36EF" w:rsidRDefault="004A36EF" w:rsidP="004A36EF">
      <w:pPr>
        <w:pStyle w:val="34"/>
        <w:spacing w:line="360" w:lineRule="auto"/>
        <w:jc w:val="center"/>
      </w:pPr>
      <w:r>
        <w:t>Кількість діючих речовин, знайдена в розчині “Реополіглюкін” в процесі зберігання в</w:t>
      </w:r>
      <w:r>
        <w:br/>
        <w:t>полівінілхлоридній упаковці при температурі 20±1°С (Р=95%, n=5)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9"/>
        <w:gridCol w:w="4100"/>
        <w:gridCol w:w="4102"/>
      </w:tblGrid>
      <w:tr w:rsidR="004A36EF" w:rsidTr="007561D1">
        <w:tblPrEx>
          <w:tblCellMar>
            <w:top w:w="0" w:type="dxa"/>
            <w:bottom w:w="0" w:type="dxa"/>
          </w:tblCellMar>
        </w:tblPrEx>
        <w:trPr>
          <w:cantSplit/>
        </w:trPr>
        <w:tc>
          <w:tcPr>
            <w:tcW w:w="715" w:type="pct"/>
            <w:vMerge w:val="restart"/>
          </w:tcPr>
          <w:p w:rsidR="004A36EF" w:rsidRDefault="004A36EF" w:rsidP="007561D1">
            <w:pPr>
              <w:widowControl w:val="0"/>
              <w:spacing w:before="60" w:after="60"/>
              <w:jc w:val="center"/>
              <w:rPr>
                <w:lang w:val="uk-UA"/>
              </w:rPr>
            </w:pPr>
            <w:r>
              <w:rPr>
                <w:lang w:val="uk-UA"/>
              </w:rPr>
              <w:lastRenderedPageBreak/>
              <w:t xml:space="preserve">Термін, </w:t>
            </w:r>
            <w:r>
              <w:rPr>
                <w:lang w:val="en-US"/>
              </w:rPr>
              <w:br/>
            </w:r>
            <w:r>
              <w:rPr>
                <w:lang w:val="uk-UA"/>
              </w:rPr>
              <w:t>м</w:t>
            </w:r>
            <w:r>
              <w:rPr>
                <w:lang w:val="uk-UA"/>
              </w:rPr>
              <w:t>і</w:t>
            </w:r>
            <w:r>
              <w:rPr>
                <w:lang w:val="uk-UA"/>
              </w:rPr>
              <w:t>сяці</w:t>
            </w:r>
          </w:p>
        </w:tc>
        <w:tc>
          <w:tcPr>
            <w:tcW w:w="4285" w:type="pct"/>
            <w:gridSpan w:val="2"/>
          </w:tcPr>
          <w:p w:rsidR="004A36EF" w:rsidRDefault="004A36EF" w:rsidP="007561D1">
            <w:pPr>
              <w:widowControl w:val="0"/>
              <w:spacing w:before="60" w:after="60"/>
              <w:jc w:val="center"/>
              <w:rPr>
                <w:lang w:val="uk-UA"/>
              </w:rPr>
            </w:pPr>
            <w:r>
              <w:rPr>
                <w:lang w:val="uk-UA"/>
              </w:rPr>
              <w:t>Кількісний вміст речовини, г/мл</w:t>
            </w:r>
          </w:p>
        </w:tc>
      </w:tr>
      <w:tr w:rsidR="004A36EF" w:rsidTr="007561D1">
        <w:tblPrEx>
          <w:tblCellMar>
            <w:top w:w="0" w:type="dxa"/>
            <w:bottom w:w="0" w:type="dxa"/>
          </w:tblCellMar>
        </w:tblPrEx>
        <w:trPr>
          <w:cantSplit/>
        </w:trPr>
        <w:tc>
          <w:tcPr>
            <w:tcW w:w="715" w:type="pct"/>
            <w:vMerge/>
          </w:tcPr>
          <w:p w:rsidR="004A36EF" w:rsidRDefault="004A36EF" w:rsidP="007561D1">
            <w:pPr>
              <w:widowControl w:val="0"/>
              <w:spacing w:before="60" w:after="60"/>
              <w:jc w:val="center"/>
              <w:rPr>
                <w:lang w:val="uk-UA"/>
              </w:rPr>
            </w:pPr>
          </w:p>
        </w:tc>
        <w:tc>
          <w:tcPr>
            <w:tcW w:w="2142" w:type="pct"/>
          </w:tcPr>
          <w:p w:rsidR="004A36EF" w:rsidRDefault="004A36EF" w:rsidP="007561D1">
            <w:pPr>
              <w:widowControl w:val="0"/>
              <w:spacing w:before="60" w:after="60"/>
              <w:jc w:val="center"/>
            </w:pPr>
            <w:r>
              <w:t>натрію хлорид</w:t>
            </w:r>
          </w:p>
        </w:tc>
        <w:tc>
          <w:tcPr>
            <w:tcW w:w="2143" w:type="pct"/>
          </w:tcPr>
          <w:p w:rsidR="004A36EF" w:rsidRDefault="004A36EF" w:rsidP="007561D1">
            <w:pPr>
              <w:widowControl w:val="0"/>
              <w:spacing w:before="60" w:after="60"/>
              <w:jc w:val="center"/>
            </w:pPr>
            <w:r>
              <w:t>декстран</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0</w:t>
            </w:r>
          </w:p>
        </w:tc>
        <w:tc>
          <w:tcPr>
            <w:tcW w:w="2142" w:type="pct"/>
          </w:tcPr>
          <w:p w:rsidR="004A36EF" w:rsidRDefault="004A36EF" w:rsidP="007561D1">
            <w:pPr>
              <w:widowControl w:val="0"/>
              <w:spacing w:before="60" w:after="60"/>
              <w:jc w:val="center"/>
            </w:pPr>
            <w:r>
              <w:t>0,0090±0,0003</w:t>
            </w:r>
          </w:p>
        </w:tc>
        <w:tc>
          <w:tcPr>
            <w:tcW w:w="2143" w:type="pct"/>
          </w:tcPr>
          <w:p w:rsidR="004A36EF" w:rsidRDefault="004A36EF" w:rsidP="007561D1">
            <w:pPr>
              <w:widowControl w:val="0"/>
              <w:spacing w:before="60" w:after="60"/>
              <w:jc w:val="center"/>
            </w:pPr>
            <w:r>
              <w:t>0,1001±0,0005</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3</w:t>
            </w:r>
          </w:p>
        </w:tc>
        <w:tc>
          <w:tcPr>
            <w:tcW w:w="2142" w:type="pct"/>
          </w:tcPr>
          <w:p w:rsidR="004A36EF" w:rsidRDefault="004A36EF" w:rsidP="007561D1">
            <w:pPr>
              <w:widowControl w:val="0"/>
              <w:spacing w:before="60" w:after="60"/>
              <w:jc w:val="center"/>
            </w:pPr>
            <w:r>
              <w:t>0,0091±0,0004</w:t>
            </w:r>
          </w:p>
        </w:tc>
        <w:tc>
          <w:tcPr>
            <w:tcW w:w="2143" w:type="pct"/>
          </w:tcPr>
          <w:p w:rsidR="004A36EF" w:rsidRDefault="004A36EF" w:rsidP="007561D1">
            <w:pPr>
              <w:widowControl w:val="0"/>
              <w:spacing w:before="60" w:after="60"/>
              <w:jc w:val="center"/>
            </w:pPr>
            <w:r>
              <w:t>0,0999±0,0004</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6</w:t>
            </w:r>
          </w:p>
        </w:tc>
        <w:tc>
          <w:tcPr>
            <w:tcW w:w="2142" w:type="pct"/>
          </w:tcPr>
          <w:p w:rsidR="004A36EF" w:rsidRDefault="004A36EF" w:rsidP="007561D1">
            <w:pPr>
              <w:widowControl w:val="0"/>
              <w:spacing w:before="60" w:after="60"/>
              <w:jc w:val="center"/>
            </w:pPr>
            <w:r>
              <w:t>0,0090±0,0005</w:t>
            </w:r>
          </w:p>
        </w:tc>
        <w:tc>
          <w:tcPr>
            <w:tcW w:w="2143" w:type="pct"/>
          </w:tcPr>
          <w:p w:rsidR="004A36EF" w:rsidRDefault="004A36EF" w:rsidP="007561D1">
            <w:pPr>
              <w:widowControl w:val="0"/>
              <w:spacing w:before="60" w:after="60"/>
              <w:jc w:val="center"/>
            </w:pPr>
            <w:r>
              <w:t>0,1002±0,0003</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9</w:t>
            </w:r>
          </w:p>
        </w:tc>
        <w:tc>
          <w:tcPr>
            <w:tcW w:w="2142" w:type="pct"/>
          </w:tcPr>
          <w:p w:rsidR="004A36EF" w:rsidRDefault="004A36EF" w:rsidP="007561D1">
            <w:pPr>
              <w:widowControl w:val="0"/>
              <w:spacing w:before="60" w:after="60"/>
              <w:jc w:val="center"/>
            </w:pPr>
            <w:r>
              <w:t>0,0092±0,0007</w:t>
            </w:r>
          </w:p>
        </w:tc>
        <w:tc>
          <w:tcPr>
            <w:tcW w:w="2143" w:type="pct"/>
          </w:tcPr>
          <w:p w:rsidR="004A36EF" w:rsidRDefault="004A36EF" w:rsidP="007561D1">
            <w:pPr>
              <w:widowControl w:val="0"/>
              <w:spacing w:before="60" w:after="60"/>
              <w:jc w:val="center"/>
            </w:pPr>
            <w:r>
              <w:t>0,1001±0,0004</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12</w:t>
            </w:r>
          </w:p>
        </w:tc>
        <w:tc>
          <w:tcPr>
            <w:tcW w:w="2142" w:type="pct"/>
          </w:tcPr>
          <w:p w:rsidR="004A36EF" w:rsidRDefault="004A36EF" w:rsidP="007561D1">
            <w:pPr>
              <w:widowControl w:val="0"/>
              <w:spacing w:before="60" w:after="60"/>
              <w:jc w:val="center"/>
            </w:pPr>
            <w:r>
              <w:t>0,0090±0,0005</w:t>
            </w:r>
          </w:p>
        </w:tc>
        <w:tc>
          <w:tcPr>
            <w:tcW w:w="2143" w:type="pct"/>
          </w:tcPr>
          <w:p w:rsidR="004A36EF" w:rsidRDefault="004A36EF" w:rsidP="007561D1">
            <w:pPr>
              <w:widowControl w:val="0"/>
              <w:spacing w:before="60" w:after="60"/>
              <w:jc w:val="center"/>
            </w:pPr>
            <w:r>
              <w:t>0,1000±0,0002</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15</w:t>
            </w:r>
          </w:p>
        </w:tc>
        <w:tc>
          <w:tcPr>
            <w:tcW w:w="2142" w:type="pct"/>
          </w:tcPr>
          <w:p w:rsidR="004A36EF" w:rsidRDefault="004A36EF" w:rsidP="007561D1">
            <w:pPr>
              <w:widowControl w:val="0"/>
              <w:spacing w:before="60" w:after="60"/>
              <w:jc w:val="center"/>
            </w:pPr>
            <w:r>
              <w:t>0,0091±0,0006</w:t>
            </w:r>
          </w:p>
        </w:tc>
        <w:tc>
          <w:tcPr>
            <w:tcW w:w="2143" w:type="pct"/>
          </w:tcPr>
          <w:p w:rsidR="004A36EF" w:rsidRDefault="004A36EF" w:rsidP="007561D1">
            <w:pPr>
              <w:widowControl w:val="0"/>
              <w:spacing w:before="60" w:after="60"/>
              <w:jc w:val="center"/>
            </w:pPr>
            <w:r>
              <w:t>0,1001±0,0003</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18</w:t>
            </w:r>
          </w:p>
        </w:tc>
        <w:tc>
          <w:tcPr>
            <w:tcW w:w="2142" w:type="pct"/>
          </w:tcPr>
          <w:p w:rsidR="004A36EF" w:rsidRDefault="004A36EF" w:rsidP="007561D1">
            <w:pPr>
              <w:widowControl w:val="0"/>
              <w:spacing w:before="60" w:after="60"/>
              <w:jc w:val="center"/>
            </w:pPr>
            <w:r>
              <w:t>0,0090±0,0005</w:t>
            </w:r>
          </w:p>
        </w:tc>
        <w:tc>
          <w:tcPr>
            <w:tcW w:w="2143" w:type="pct"/>
          </w:tcPr>
          <w:p w:rsidR="004A36EF" w:rsidRDefault="004A36EF" w:rsidP="007561D1">
            <w:pPr>
              <w:widowControl w:val="0"/>
              <w:spacing w:before="60" w:after="60"/>
              <w:jc w:val="center"/>
            </w:pPr>
            <w:r>
              <w:t>0,1000±0,0005</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21</w:t>
            </w:r>
          </w:p>
        </w:tc>
        <w:tc>
          <w:tcPr>
            <w:tcW w:w="2142" w:type="pct"/>
          </w:tcPr>
          <w:p w:rsidR="004A36EF" w:rsidRDefault="004A36EF" w:rsidP="007561D1">
            <w:pPr>
              <w:widowControl w:val="0"/>
              <w:spacing w:before="60" w:after="60"/>
              <w:jc w:val="center"/>
            </w:pPr>
            <w:r>
              <w:t>0,0093±0,0003</w:t>
            </w:r>
          </w:p>
        </w:tc>
        <w:tc>
          <w:tcPr>
            <w:tcW w:w="2143" w:type="pct"/>
          </w:tcPr>
          <w:p w:rsidR="004A36EF" w:rsidRDefault="004A36EF" w:rsidP="007561D1">
            <w:pPr>
              <w:widowControl w:val="0"/>
              <w:spacing w:before="60" w:after="60"/>
              <w:jc w:val="center"/>
            </w:pPr>
            <w:r>
              <w:t>0,1002±0,0002</w:t>
            </w:r>
          </w:p>
        </w:tc>
      </w:tr>
      <w:tr w:rsidR="004A36EF" w:rsidTr="007561D1">
        <w:tblPrEx>
          <w:tblCellMar>
            <w:top w:w="0" w:type="dxa"/>
            <w:bottom w:w="0" w:type="dxa"/>
          </w:tblCellMar>
        </w:tblPrEx>
        <w:trPr>
          <w:cantSplit/>
        </w:trPr>
        <w:tc>
          <w:tcPr>
            <w:tcW w:w="715" w:type="pct"/>
          </w:tcPr>
          <w:p w:rsidR="004A36EF" w:rsidRDefault="004A36EF" w:rsidP="007561D1">
            <w:pPr>
              <w:widowControl w:val="0"/>
              <w:spacing w:before="60" w:after="60"/>
              <w:jc w:val="center"/>
            </w:pPr>
            <w:r>
              <w:t>24</w:t>
            </w:r>
          </w:p>
        </w:tc>
        <w:tc>
          <w:tcPr>
            <w:tcW w:w="2142" w:type="pct"/>
          </w:tcPr>
          <w:p w:rsidR="004A36EF" w:rsidRDefault="004A36EF" w:rsidP="007561D1">
            <w:pPr>
              <w:widowControl w:val="0"/>
              <w:spacing w:before="60" w:after="60"/>
              <w:jc w:val="center"/>
            </w:pPr>
            <w:r>
              <w:t>0,0092±0,0002</w:t>
            </w:r>
          </w:p>
        </w:tc>
        <w:tc>
          <w:tcPr>
            <w:tcW w:w="2143" w:type="pct"/>
          </w:tcPr>
          <w:p w:rsidR="004A36EF" w:rsidRDefault="004A36EF" w:rsidP="007561D1">
            <w:pPr>
              <w:widowControl w:val="0"/>
              <w:spacing w:before="60" w:after="60"/>
              <w:jc w:val="center"/>
            </w:pPr>
            <w:r>
              <w:t>0,0999±0,0003</w:t>
            </w:r>
          </w:p>
        </w:tc>
      </w:tr>
    </w:tbl>
    <w:p w:rsidR="004A36EF" w:rsidRDefault="004A36EF" w:rsidP="004A36EF">
      <w:pPr>
        <w:pStyle w:val="24"/>
        <w:widowControl w:val="0"/>
        <w:spacing w:before="240"/>
      </w:pPr>
      <w:r>
        <w:t>Протягом 24 місяців не були зафіксовані значні відхилення кількості діючих речовин. Так у розчині “Трисіль” кількість натрій-іону вкладалась у межі 2,750-3,370 мг/мл; калій-іону – 0,472-0,577 мг/мл; гідрокарбонат-іону – 2,615-3,197 мг/мл, хлорид-іону – 3,160-3,860 мг/мл, а в розчині “Реополіглюкін” кількість декстрану з молекулярною масою від 30000 до 40000 вкладалась у межі 0,0950-0,1050 г/мл; натрію хлориду – 0,0085-0,0100 г/мл.</w:t>
      </w:r>
    </w:p>
    <w:p w:rsidR="004A36EF" w:rsidRDefault="004A36EF" w:rsidP="004A36EF">
      <w:pPr>
        <w:widowControl w:val="0"/>
        <w:spacing w:line="360" w:lineRule="auto"/>
        <w:ind w:firstLine="567"/>
        <w:jc w:val="both"/>
        <w:rPr>
          <w:lang w:val="uk-UA"/>
        </w:rPr>
      </w:pPr>
      <w:r>
        <w:rPr>
          <w:lang w:val="uk-UA"/>
        </w:rPr>
        <w:t>Таким чином, можна стверджувати, що матеріал упаковки (полівінілхлорид) практично не впливає на фізико-хімічні властивості розчинів “Трисіль” і “Реополіглюкін”.</w:t>
      </w:r>
    </w:p>
    <w:p w:rsidR="004A36EF" w:rsidRDefault="004A36EF" w:rsidP="004A36EF">
      <w:pPr>
        <w:pStyle w:val="24"/>
        <w:widowControl w:val="0"/>
      </w:pPr>
      <w:r>
        <w:t>Одержані результати дозволяють зробити висновок про можливість використання полівіні</w:t>
      </w:r>
      <w:r>
        <w:t>л</w:t>
      </w:r>
      <w:r>
        <w:t>хлоридної упаковки в технології інфузійних розчинів “Реополіглюкін” і “Трисіль”.</w:t>
      </w:r>
    </w:p>
    <w:p w:rsidR="004A36EF" w:rsidRDefault="004A36EF" w:rsidP="004A36EF">
      <w:pPr>
        <w:pStyle w:val="afffffff8"/>
        <w:ind w:firstLine="567"/>
        <w:jc w:val="both"/>
      </w:pPr>
      <w:r>
        <w:t>Враховуючи результати фізико-хімічних досліджень, нами була розроблена промислова те</w:t>
      </w:r>
      <w:r>
        <w:t>х</w:t>
      </w:r>
      <w:r>
        <w:t>нологія розчинів “Реополіглюкін” і “Трисіль” в полівінілхлоридних пакетах. Технологічний пр</w:t>
      </w:r>
      <w:r>
        <w:t>о</w:t>
      </w:r>
      <w:r>
        <w:t>цес виготовлення стерильних інфузійних розчинів організовано відповідно правил GMP на Луга</w:t>
      </w:r>
      <w:r>
        <w:t>н</w:t>
      </w:r>
      <w:r>
        <w:t>ській фармацевтичній фабриці. При проектуванні і монтажу цеху по виробництву інфузійних розчинів було викор</w:t>
      </w:r>
      <w:r>
        <w:t>и</w:t>
      </w:r>
      <w:r>
        <w:t xml:space="preserve">стано сучасне обладнання. Апаратурна схема враховує всі фізичні, технічні та технологічні вимоги процесу </w:t>
      </w:r>
      <w:r>
        <w:lastRenderedPageBreak/>
        <w:t>виробництва інфузійних розчинів: миття, сушіння і стерилізація пе</w:t>
      </w:r>
      <w:r>
        <w:t>р</w:t>
      </w:r>
      <w:r>
        <w:t>винних пакувань, ємкостей і обладнання, температурний режим, швидкість обертання діючих ча</w:t>
      </w:r>
      <w:r>
        <w:t>с</w:t>
      </w:r>
      <w:r>
        <w:t>тин механізмів, мембранна фільтрація, стерилізація і контроль якості розчинів.</w:t>
      </w:r>
    </w:p>
    <w:p w:rsidR="004A36EF" w:rsidRDefault="004A36EF" w:rsidP="004A36EF">
      <w:pPr>
        <w:pStyle w:val="afffffff8"/>
        <w:ind w:firstLine="567"/>
        <w:jc w:val="both"/>
      </w:pPr>
      <w:r>
        <w:t>При розробці апаратурної схеми технологічного процесу передбачено фільтрацію розчинів крізь мембранні мікрофільтри з розміром пор не більше 0,45 мкм з наступним розливом у полім</w:t>
      </w:r>
      <w:r>
        <w:t>е</w:t>
      </w:r>
      <w:r>
        <w:t>рні пакети (щоб виключити попадання мікроорганізмів у профільтрований розчин).</w:t>
      </w:r>
    </w:p>
    <w:p w:rsidR="004A36EF" w:rsidRDefault="004A36EF" w:rsidP="004A36EF">
      <w:pPr>
        <w:pStyle w:val="afffffff8"/>
        <w:ind w:firstLine="567"/>
        <w:jc w:val="both"/>
      </w:pPr>
      <w:r>
        <w:t>Технологічна схема виробництва розчинів “Реополіглюкін” та “Трисіль” складається з 5 о</w:t>
      </w:r>
      <w:r>
        <w:t>с</w:t>
      </w:r>
      <w:r>
        <w:t>новних і 11 допоміжних стадій (рис. 8, 9). На всіх стадіях технологічного процесу вжиті зах</w:t>
      </w:r>
      <w:r>
        <w:t>о</w:t>
      </w:r>
      <w:r>
        <w:t>ди, що запобігають контамінації.</w:t>
      </w:r>
    </w:p>
    <w:p w:rsidR="004A36EF" w:rsidRDefault="004A36EF" w:rsidP="004A36EF">
      <w:pPr>
        <w:pStyle w:val="24"/>
        <w:widowControl w:val="0"/>
      </w:pPr>
      <w:r>
        <w:t>Експериментальні дані фізико-хімічних характеристик розчинів “Реополіглюкін” і “Трисіль”, отриманих за наведеною технологією, представлені у табл. 7. Як показники якості нами дослідж</w:t>
      </w:r>
      <w:r>
        <w:t>у</w:t>
      </w:r>
      <w:r>
        <w:t>вались тотожність, відносна в’язкість, прозорість, забарвленість, рН, номінальний об’єм, механі</w:t>
      </w:r>
      <w:r>
        <w:t>ч</w:t>
      </w:r>
      <w:r>
        <w:t>ні домішки, важкі метали, стерильність, пірогенність та кількісне визначення діючих речовин. Мет</w:t>
      </w:r>
      <w:r>
        <w:t>о</w:t>
      </w:r>
      <w:r>
        <w:t>дики визначення вказаних показників включені до ТФС 42У-105-1441-99 “Реополіглюкін” та ФС 42У-105-143-97 “Трисіль”.</w:t>
      </w:r>
    </w:p>
    <w:p w:rsidR="004A36EF" w:rsidRDefault="004A36EF" w:rsidP="004A36EF">
      <w:pPr>
        <w:pStyle w:val="24"/>
        <w:widowControl w:val="0"/>
      </w:pPr>
      <w:r>
        <w:t>З даних табл. 7 виходить, що інфузійні розчини “Реополіглюкін” і “Трисіль” відповідають вимогам ДФУ, що висуваються до парентеральних лікарських засобів. Таким чином,  розроблена нами технологія дозволяє отримати стабільні інфузійні розчини відповідної якості.</w:t>
      </w:r>
    </w:p>
    <w:p w:rsidR="004A36EF" w:rsidRDefault="004A36EF" w:rsidP="004A36EF">
      <w:pPr>
        <w:pStyle w:val="24"/>
        <w:widowControl w:val="0"/>
      </w:pPr>
      <w:r>
        <w:t>За результатами досліджень розроблено технологічні регламенти виробництва, які предста</w:t>
      </w:r>
      <w:r>
        <w:t>в</w:t>
      </w:r>
      <w:r>
        <w:t>ляють собою науково обґрунтовану схему-алгоритм валідованих етапів виробництва інфузійних розчинів “Реополіглюкін” та “Трисіль”.</w:t>
      </w:r>
    </w:p>
    <w:p w:rsidR="004A36EF" w:rsidRDefault="004A36EF" w:rsidP="004A36EF">
      <w:pPr>
        <w:pStyle w:val="24"/>
        <w:widowControl w:val="0"/>
      </w:pPr>
      <w:r>
        <w:lastRenderedPageBreak/>
        <w:t>Розроблені регламенти затверджені та впроваджені у виробництво на Луганській фармаце</w:t>
      </w:r>
      <w:r>
        <w:t>в</w:t>
      </w:r>
      <w:r>
        <w:t>тичній фабриці. Проектна потужність виробництва інфузійних розчинів “Реополіглюкін” і “Тр</w:t>
      </w:r>
      <w:r>
        <w:t>и</w:t>
      </w:r>
      <w:r>
        <w:t>сіль” складає 100 тис. упаковок на рік, що забезпечує потреби України майже на 15%.</w:t>
      </w:r>
    </w:p>
    <w:p w:rsidR="004A36EF" w:rsidRDefault="004A36EF" w:rsidP="004A36EF">
      <w:pPr>
        <w:widowControl w:val="0"/>
        <w:spacing w:before="360" w:line="360" w:lineRule="auto"/>
        <w:rPr>
          <w:b/>
          <w:bCs/>
          <w:lang w:val="uk-UA"/>
        </w:rPr>
      </w:pPr>
    </w:p>
    <w:p w:rsidR="004A36EF" w:rsidRDefault="004A36EF" w:rsidP="004A36EF">
      <w:pPr>
        <w:widowControl w:val="0"/>
        <w:spacing w:before="360" w:line="360" w:lineRule="auto"/>
        <w:rPr>
          <w:b/>
          <w:bCs/>
          <w:lang w:val="uk-UA"/>
        </w:rPr>
      </w:pPr>
      <w:r>
        <w:rPr>
          <w:noProof/>
          <w:lang w:eastAsia="ru-RU"/>
        </w:rPr>
        <mc:AlternateContent>
          <mc:Choice Requires="wpg">
            <w:drawing>
              <wp:anchor distT="0" distB="0" distL="114300" distR="114300" simplePos="0" relativeHeight="251660288" behindDoc="1" locked="0" layoutInCell="1" allowOverlap="1">
                <wp:simplePos x="0" y="0"/>
                <wp:positionH relativeFrom="column">
                  <wp:posOffset>5080</wp:posOffset>
                </wp:positionH>
                <wp:positionV relativeFrom="paragraph">
                  <wp:posOffset>114300</wp:posOffset>
                </wp:positionV>
                <wp:extent cx="6058535" cy="8580755"/>
                <wp:effectExtent l="0" t="0" r="94615" b="10795"/>
                <wp:wrapNone/>
                <wp:docPr id="404" name="Группа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8580755"/>
                          <a:chOff x="1142" y="1502"/>
                          <a:chExt cx="9541" cy="13513"/>
                        </a:xfrm>
                      </wpg:grpSpPr>
                      <wps:wsp>
                        <wps:cNvPr id="405" name="Text Box 297"/>
                        <wps:cNvSpPr txBox="1">
                          <a:spLocks noChangeArrowheads="1"/>
                        </wps:cNvSpPr>
                        <wps:spPr bwMode="auto">
                          <a:xfrm>
                            <a:off x="1287" y="3834"/>
                            <a:ext cx="668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6EF" w:rsidRDefault="004A36EF" w:rsidP="004A36EF">
                              <w:pPr>
                                <w:widowControl w:val="0"/>
                                <w:spacing w:line="360" w:lineRule="auto"/>
                                <w:ind w:firstLine="240"/>
                                <w:jc w:val="both"/>
                                <w:rPr>
                                  <w:lang w:val="uk-UA"/>
                                </w:rPr>
                              </w:pPr>
                              <w:r>
                                <w:rPr>
                                  <w:lang w:val="uk-UA"/>
                                </w:rPr>
                                <w:t>Розчин</w:t>
                              </w:r>
                              <w:r>
                                <w:rPr>
                                  <w:sz w:val="22"/>
                                  <w:lang w:val="uk-UA"/>
                                </w:rPr>
                                <w:tab/>
                              </w:r>
                              <w:r>
                                <w:rPr>
                                  <w:sz w:val="22"/>
                                  <w:lang w:val="uk-UA"/>
                                </w:rPr>
                                <w:tab/>
                              </w:r>
                              <w:r>
                                <w:rPr>
                                  <w:sz w:val="22"/>
                                  <w:lang w:val="uk-UA"/>
                                </w:rPr>
                                <w:tab/>
                              </w:r>
                              <w:r>
                                <w:rPr>
                                  <w:sz w:val="22"/>
                                  <w:lang w:val="uk-UA"/>
                                </w:rPr>
                                <w:tab/>
                                <w:t xml:space="preserve">  </w:t>
                              </w:r>
                              <w:r>
                                <w:rPr>
                                  <w:lang w:val="uk-UA"/>
                                </w:rPr>
                                <w:t>Сировина, вода для ін’єкцій</w:t>
                              </w:r>
                            </w:p>
                          </w:txbxContent>
                        </wps:txbx>
                        <wps:bodyPr rot="0" vert="horz" wrap="none" lIns="91440" tIns="45720" rIns="91440" bIns="45720" anchor="t" anchorCtr="0" upright="1">
                          <a:noAutofit/>
                        </wps:bodyPr>
                      </wps:wsp>
                      <wps:wsp>
                        <wps:cNvPr id="406" name="Text Box 298"/>
                        <wps:cNvSpPr txBox="1">
                          <a:spLocks noChangeArrowheads="1"/>
                        </wps:cNvSpPr>
                        <wps:spPr bwMode="auto">
                          <a:xfrm>
                            <a:off x="8094" y="12980"/>
                            <a:ext cx="22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6EF" w:rsidRDefault="004A36EF" w:rsidP="004A36EF">
                              <w:pPr>
                                <w:widowControl w:val="0"/>
                                <w:tabs>
                                  <w:tab w:val="left" w:pos="6840"/>
                                </w:tabs>
                                <w:spacing w:line="360" w:lineRule="auto"/>
                                <w:jc w:val="both"/>
                                <w:rPr>
                                  <w:lang w:val="uk-UA"/>
                                </w:rPr>
                              </w:pPr>
                              <w:r>
                                <w:rPr>
                                  <w:lang w:val="uk-UA"/>
                                </w:rPr>
                                <w:t>Готовий пр</w:t>
                              </w:r>
                              <w:r>
                                <w:rPr>
                                  <w:lang w:val="uk-UA"/>
                                </w:rPr>
                                <w:t>о</w:t>
                              </w:r>
                              <w:r>
                                <w:rPr>
                                  <w:lang w:val="uk-UA"/>
                                </w:rPr>
                                <w:t>дукт</w:t>
                              </w:r>
                            </w:p>
                          </w:txbxContent>
                        </wps:txbx>
                        <wps:bodyPr rot="0" vert="horz" wrap="square" lIns="91440" tIns="45720" rIns="91440" bIns="45720" anchor="t" anchorCtr="0" upright="1">
                          <a:noAutofit/>
                        </wps:bodyPr>
                      </wps:wsp>
                      <wpg:grpSp>
                        <wpg:cNvPr id="407" name="Group 299"/>
                        <wpg:cNvGrpSpPr>
                          <a:grpSpLocks/>
                        </wpg:cNvGrpSpPr>
                        <wpg:grpSpPr bwMode="auto">
                          <a:xfrm>
                            <a:off x="1142" y="1502"/>
                            <a:ext cx="9541" cy="13513"/>
                            <a:chOff x="900" y="797"/>
                            <a:chExt cx="9541" cy="13513"/>
                          </a:xfrm>
                        </wpg:grpSpPr>
                        <wps:wsp>
                          <wps:cNvPr id="408" name="Line 300"/>
                          <wps:cNvCnPr/>
                          <wps:spPr bwMode="auto">
                            <a:xfrm>
                              <a:off x="8571" y="1854"/>
                              <a:ext cx="0" cy="342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9" name="Line 301"/>
                          <wps:cNvCnPr/>
                          <wps:spPr bwMode="auto">
                            <a:xfrm>
                              <a:off x="9506" y="13560"/>
                              <a:ext cx="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10" name="Line 302"/>
                          <wps:cNvCnPr/>
                          <wps:spPr bwMode="auto">
                            <a:xfrm>
                              <a:off x="9693" y="11394"/>
                              <a:ext cx="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11" name="Line 303"/>
                          <wps:cNvCnPr/>
                          <wps:spPr bwMode="auto">
                            <a:xfrm>
                              <a:off x="7823" y="1139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Text Box 304"/>
                          <wps:cNvSpPr txBox="1">
                            <a:spLocks noChangeArrowheads="1"/>
                          </wps:cNvSpPr>
                          <wps:spPr bwMode="auto">
                            <a:xfrm>
                              <a:off x="1091" y="797"/>
                              <a:ext cx="1122" cy="108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ВР1.1</w:t>
                                </w:r>
                              </w:p>
                              <w:p w:rsidR="004A36EF" w:rsidRDefault="004A36EF" w:rsidP="004A36EF">
                                <w:pPr>
                                  <w:rPr>
                                    <w:szCs w:val="26"/>
                                  </w:rPr>
                                </w:pPr>
                                <w:r>
                                  <w:rPr>
                                    <w:szCs w:val="26"/>
                                  </w:rPr>
                                  <w:t>Кт,КХ,</w:t>
                                </w:r>
                              </w:p>
                              <w:p w:rsidR="004A36EF" w:rsidRDefault="004A36EF" w:rsidP="004A36EF">
                                <w:pPr>
                                  <w:rPr>
                                    <w:szCs w:val="26"/>
                                  </w:rPr>
                                </w:pPr>
                                <w:r>
                                  <w:rPr>
                                    <w:szCs w:val="26"/>
                                  </w:rPr>
                                  <w:t>Кмк</w:t>
                                </w:r>
                              </w:p>
                            </w:txbxContent>
                          </wps:txbx>
                          <wps:bodyPr rot="0" vert="horz" wrap="square" lIns="18000" tIns="36000" rIns="18000" bIns="36000" anchor="t" anchorCtr="0" upright="1">
                            <a:noAutofit/>
                          </wps:bodyPr>
                        </wps:wsp>
                        <wps:wsp>
                          <wps:cNvPr id="413" name="Text Box 305"/>
                          <wps:cNvSpPr txBox="1">
                            <a:spLocks noChangeArrowheads="1"/>
                          </wps:cNvSpPr>
                          <wps:spPr bwMode="auto">
                            <a:xfrm>
                              <a:off x="2213" y="802"/>
                              <a:ext cx="3366" cy="108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rPr>
                                    <w:lang w:val="uk-UA"/>
                                  </w:rPr>
                                </w:pPr>
                                <w:r>
                                  <w:rPr>
                                    <w:lang w:val="uk-UA"/>
                                  </w:rPr>
                                  <w:t>Підготовка виробничих приміщень та обладнання до р</w:t>
                                </w:r>
                                <w:r>
                                  <w:rPr>
                                    <w:lang w:val="uk-UA"/>
                                  </w:rPr>
                                  <w:t>о</w:t>
                                </w:r>
                                <w:r>
                                  <w:rPr>
                                    <w:lang w:val="uk-UA"/>
                                  </w:rPr>
                                  <w:t>боти</w:t>
                                </w:r>
                              </w:p>
                            </w:txbxContent>
                          </wps:txbx>
                          <wps:bodyPr rot="0" vert="horz" wrap="square" lIns="18000" tIns="36000" rIns="18000" bIns="36000" anchor="t" anchorCtr="0" upright="1">
                            <a:noAutofit/>
                          </wps:bodyPr>
                        </wps:wsp>
                        <wps:wsp>
                          <wps:cNvPr id="414" name="Line 306"/>
                          <wps:cNvCnPr/>
                          <wps:spPr bwMode="auto">
                            <a:xfrm flipH="1">
                              <a:off x="5579" y="1320"/>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15" name="Text Box 307"/>
                          <wps:cNvSpPr txBox="1">
                            <a:spLocks noChangeArrowheads="1"/>
                          </wps:cNvSpPr>
                          <wps:spPr bwMode="auto">
                            <a:xfrm>
                              <a:off x="1091" y="2040"/>
                              <a:ext cx="1122" cy="1074"/>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ВР1.2</w:t>
                                </w:r>
                              </w:p>
                              <w:p w:rsidR="004A36EF" w:rsidRDefault="004A36EF" w:rsidP="004A36EF">
                                <w:pPr>
                                  <w:rPr>
                                    <w:szCs w:val="26"/>
                                  </w:rPr>
                                </w:pPr>
                                <w:r>
                                  <w:rPr>
                                    <w:szCs w:val="26"/>
                                  </w:rPr>
                                  <w:t>Кт,Кх,</w:t>
                                </w:r>
                              </w:p>
                              <w:p w:rsidR="004A36EF" w:rsidRDefault="004A36EF" w:rsidP="004A36EF">
                                <w:pPr>
                                  <w:rPr>
                                    <w:szCs w:val="26"/>
                                  </w:rPr>
                                </w:pPr>
                                <w:r>
                                  <w:rPr>
                                    <w:szCs w:val="26"/>
                                  </w:rPr>
                                  <w:t>Кмк</w:t>
                                </w:r>
                              </w:p>
                            </w:txbxContent>
                          </wps:txbx>
                          <wps:bodyPr rot="0" vert="horz" wrap="square" lIns="18000" tIns="36000" rIns="18000" bIns="36000" anchor="t" anchorCtr="0" upright="1">
                            <a:noAutofit/>
                          </wps:bodyPr>
                        </wps:wsp>
                        <wps:wsp>
                          <wps:cNvPr id="416" name="Text Box 308"/>
                          <wps:cNvSpPr txBox="1">
                            <a:spLocks noChangeArrowheads="1"/>
                          </wps:cNvSpPr>
                          <wps:spPr bwMode="auto">
                            <a:xfrm>
                              <a:off x="2213" y="2040"/>
                              <a:ext cx="3366" cy="1074"/>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Підготовка персоналу та техн</w:t>
                                </w:r>
                                <w:r>
                                  <w:t>о</w:t>
                                </w:r>
                                <w:r>
                                  <w:t>логічного одягу</w:t>
                                </w:r>
                              </w:p>
                            </w:txbxContent>
                          </wps:txbx>
                          <wps:bodyPr rot="0" vert="horz" wrap="square" lIns="18000" tIns="36000" rIns="18000" bIns="36000" anchor="t" anchorCtr="0" upright="1">
                            <a:noAutofit/>
                          </wps:bodyPr>
                        </wps:wsp>
                        <wps:wsp>
                          <wps:cNvPr id="417" name="Line 309"/>
                          <wps:cNvCnPr/>
                          <wps:spPr bwMode="auto">
                            <a:xfrm flipH="1">
                              <a:off x="5579" y="2409"/>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18" name="Line 310"/>
                          <wps:cNvCnPr/>
                          <wps:spPr bwMode="auto">
                            <a:xfrm>
                              <a:off x="6140" y="131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11"/>
                          <wps:cNvCnPr/>
                          <wps:spPr bwMode="auto">
                            <a:xfrm>
                              <a:off x="6140" y="1860"/>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Text Box 312"/>
                          <wps:cNvSpPr txBox="1">
                            <a:spLocks noChangeArrowheads="1"/>
                          </wps:cNvSpPr>
                          <wps:spPr bwMode="auto">
                            <a:xfrm>
                              <a:off x="6327" y="1491"/>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ВР1</w:t>
                                </w:r>
                              </w:p>
                            </w:txbxContent>
                          </wps:txbx>
                          <wps:bodyPr rot="0" vert="horz" wrap="square" lIns="18000" tIns="36000" rIns="18000" bIns="36000" anchor="t" anchorCtr="0" upright="1">
                            <a:noAutofit/>
                          </wps:bodyPr>
                        </wps:wsp>
                        <wps:wsp>
                          <wps:cNvPr id="421" name="Text Box 313"/>
                          <wps:cNvSpPr txBox="1">
                            <a:spLocks noChangeArrowheads="1"/>
                          </wps:cNvSpPr>
                          <wps:spPr bwMode="auto">
                            <a:xfrm>
                              <a:off x="7449" y="1491"/>
                              <a:ext cx="2992"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rPr>
                                    <w:sz w:val="26"/>
                                    <w:szCs w:val="26"/>
                                  </w:rPr>
                                </w:pPr>
                                <w:r>
                                  <w:t>Санітарна обробка виро</w:t>
                                </w:r>
                                <w:r>
                                  <w:t>б</w:t>
                                </w:r>
                                <w:r>
                                  <w:t>ництва</w:t>
                                </w:r>
                              </w:p>
                            </w:txbxContent>
                          </wps:txbx>
                          <wps:bodyPr rot="0" vert="horz" wrap="square" lIns="18000" tIns="36000" rIns="18000" bIns="36000" anchor="t" anchorCtr="0" upright="1">
                            <a:noAutofit/>
                          </wps:bodyPr>
                        </wps:wsp>
                        <wps:wsp>
                          <wps:cNvPr id="422" name="Text Box 314"/>
                          <wps:cNvSpPr txBox="1">
                            <a:spLocks noChangeArrowheads="1"/>
                          </wps:cNvSpPr>
                          <wps:spPr bwMode="auto">
                            <a:xfrm>
                              <a:off x="2213" y="3926"/>
                              <a:ext cx="3366" cy="808"/>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Приготування розчину</w:t>
                                </w:r>
                              </w:p>
                            </w:txbxContent>
                          </wps:txbx>
                          <wps:bodyPr rot="0" vert="horz" wrap="square" lIns="18000" tIns="36000" rIns="18000" bIns="36000" anchor="t" anchorCtr="0" upright="1">
                            <a:noAutofit/>
                          </wps:bodyPr>
                        </wps:wsp>
                        <wps:wsp>
                          <wps:cNvPr id="423" name="Text Box 315"/>
                          <wps:cNvSpPr txBox="1">
                            <a:spLocks noChangeArrowheads="1"/>
                          </wps:cNvSpPr>
                          <wps:spPr bwMode="auto">
                            <a:xfrm>
                              <a:off x="1091" y="3926"/>
                              <a:ext cx="1122" cy="808"/>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ТП2.1</w:t>
                                </w:r>
                              </w:p>
                              <w:p w:rsidR="004A36EF" w:rsidRDefault="004A36EF" w:rsidP="004A36EF">
                                <w:pPr>
                                  <w:rPr>
                                    <w:szCs w:val="26"/>
                                  </w:rPr>
                                </w:pPr>
                                <w:r>
                                  <w:rPr>
                                    <w:szCs w:val="26"/>
                                  </w:rPr>
                                  <w:t>Кт, Кх</w:t>
                                </w:r>
                              </w:p>
                            </w:txbxContent>
                          </wps:txbx>
                          <wps:bodyPr rot="0" vert="horz" wrap="square" lIns="18000" tIns="36000" rIns="18000" bIns="36000" anchor="t" anchorCtr="0" upright="1">
                            <a:noAutofit/>
                          </wps:bodyPr>
                        </wps:wsp>
                        <wps:wsp>
                          <wps:cNvPr id="424" name="Text Box 316"/>
                          <wps:cNvSpPr txBox="1">
                            <a:spLocks noChangeArrowheads="1"/>
                          </wps:cNvSpPr>
                          <wps:spPr bwMode="auto">
                            <a:xfrm>
                              <a:off x="2213" y="4914"/>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Фільтрація розчину</w:t>
                                </w:r>
                              </w:p>
                            </w:txbxContent>
                          </wps:txbx>
                          <wps:bodyPr rot="0" vert="horz" wrap="square" lIns="18000" tIns="36000" rIns="18000" bIns="36000" anchor="t" anchorCtr="0" upright="1">
                            <a:noAutofit/>
                          </wps:bodyPr>
                        </wps:wsp>
                        <wps:wsp>
                          <wps:cNvPr id="425" name="Text Box 317"/>
                          <wps:cNvSpPr txBox="1">
                            <a:spLocks noChangeArrowheads="1"/>
                          </wps:cNvSpPr>
                          <wps:spPr bwMode="auto">
                            <a:xfrm>
                              <a:off x="2213" y="5843"/>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Наповнення пакетів розч</w:t>
                                </w:r>
                                <w:r>
                                  <w:t>и</w:t>
                                </w:r>
                                <w:r>
                                  <w:t>ном</w:t>
                                </w:r>
                              </w:p>
                            </w:txbxContent>
                          </wps:txbx>
                          <wps:bodyPr rot="0" vert="horz" wrap="square" lIns="18000" tIns="36000" rIns="18000" bIns="36000" anchor="t" anchorCtr="0" upright="1">
                            <a:noAutofit/>
                          </wps:bodyPr>
                        </wps:wsp>
                        <wps:wsp>
                          <wps:cNvPr id="426" name="Text Box 318"/>
                          <wps:cNvSpPr txBox="1">
                            <a:spLocks noChangeArrowheads="1"/>
                          </wps:cNvSpPr>
                          <wps:spPr bwMode="auto">
                            <a:xfrm>
                              <a:off x="2213" y="6761"/>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Маркування пакетів</w:t>
                                </w:r>
                              </w:p>
                            </w:txbxContent>
                          </wps:txbx>
                          <wps:bodyPr rot="0" vert="horz" wrap="square" lIns="18000" tIns="36000" rIns="18000" bIns="36000" anchor="t" anchorCtr="0" upright="1">
                            <a:noAutofit/>
                          </wps:bodyPr>
                        </wps:wsp>
                        <wps:wsp>
                          <wps:cNvPr id="427" name="Text Box 319"/>
                          <wps:cNvSpPr txBox="1">
                            <a:spLocks noChangeArrowheads="1"/>
                          </wps:cNvSpPr>
                          <wps:spPr bwMode="auto">
                            <a:xfrm>
                              <a:off x="1091" y="4914"/>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ТП2.2</w:t>
                                </w:r>
                              </w:p>
                              <w:p w:rsidR="004A36EF" w:rsidRDefault="004A36EF" w:rsidP="004A36EF">
                                <w:pPr>
                                  <w:rPr>
                                    <w:szCs w:val="26"/>
                                  </w:rPr>
                                </w:pPr>
                                <w:r>
                                  <w:rPr>
                                    <w:szCs w:val="26"/>
                                  </w:rPr>
                                  <w:t>Кт</w:t>
                                </w:r>
                              </w:p>
                            </w:txbxContent>
                          </wps:txbx>
                          <wps:bodyPr rot="0" vert="horz" wrap="square" lIns="18000" tIns="36000" rIns="18000" bIns="36000" anchor="t" anchorCtr="0" upright="1">
                            <a:noAutofit/>
                          </wps:bodyPr>
                        </wps:wsp>
                        <wps:wsp>
                          <wps:cNvPr id="428" name="Text Box 320"/>
                          <wps:cNvSpPr txBox="1">
                            <a:spLocks noChangeArrowheads="1"/>
                          </wps:cNvSpPr>
                          <wps:spPr bwMode="auto">
                            <a:xfrm>
                              <a:off x="1091" y="5843"/>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ТП2.3</w:t>
                                </w:r>
                              </w:p>
                              <w:p w:rsidR="004A36EF" w:rsidRDefault="004A36EF" w:rsidP="004A36EF">
                                <w:pPr>
                                  <w:rPr>
                                    <w:szCs w:val="26"/>
                                  </w:rPr>
                                </w:pPr>
                                <w:r>
                                  <w:rPr>
                                    <w:szCs w:val="26"/>
                                  </w:rPr>
                                  <w:t>Кт</w:t>
                                </w:r>
                              </w:p>
                            </w:txbxContent>
                          </wps:txbx>
                          <wps:bodyPr rot="0" vert="horz" wrap="square" lIns="18000" tIns="36000" rIns="18000" bIns="36000" anchor="t" anchorCtr="0" upright="1">
                            <a:noAutofit/>
                          </wps:bodyPr>
                        </wps:wsp>
                        <wps:wsp>
                          <wps:cNvPr id="429" name="Text Box 321"/>
                          <wps:cNvSpPr txBox="1">
                            <a:spLocks noChangeArrowheads="1"/>
                          </wps:cNvSpPr>
                          <wps:spPr bwMode="auto">
                            <a:xfrm>
                              <a:off x="1091" y="6761"/>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ТП2.4</w:t>
                                </w:r>
                              </w:p>
                              <w:p w:rsidR="004A36EF" w:rsidRDefault="004A36EF" w:rsidP="004A36EF">
                                <w:pPr>
                                  <w:rPr>
                                    <w:szCs w:val="26"/>
                                  </w:rPr>
                                </w:pPr>
                                <w:r>
                                  <w:rPr>
                                    <w:szCs w:val="26"/>
                                  </w:rPr>
                                  <w:t>Кт</w:t>
                                </w:r>
                              </w:p>
                            </w:txbxContent>
                          </wps:txbx>
                          <wps:bodyPr rot="0" vert="horz" wrap="square" lIns="18000" tIns="36000" rIns="18000" bIns="36000" anchor="t" anchorCtr="0" upright="1">
                            <a:noAutofit/>
                          </wps:bodyPr>
                        </wps:wsp>
                        <wps:wsp>
                          <wps:cNvPr id="430" name="Text Box 322"/>
                          <wps:cNvSpPr txBox="1">
                            <a:spLocks noChangeArrowheads="1"/>
                          </wps:cNvSpPr>
                          <wps:spPr bwMode="auto">
                            <a:xfrm>
                              <a:off x="7636" y="5274"/>
                              <a:ext cx="2805" cy="108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Приготування розчинів та наповнення пакетів ро</w:t>
                                </w:r>
                                <w:r>
                                  <w:t>з</w:t>
                                </w:r>
                                <w:r>
                                  <w:t>чином</w:t>
                                </w:r>
                              </w:p>
                            </w:txbxContent>
                          </wps:txbx>
                          <wps:bodyPr rot="0" vert="horz" wrap="square" lIns="18000" tIns="36000" rIns="18000" bIns="36000" anchor="t" anchorCtr="0" upright="1">
                            <a:noAutofit/>
                          </wps:bodyPr>
                        </wps:wsp>
                        <wps:wsp>
                          <wps:cNvPr id="431" name="Text Box 323"/>
                          <wps:cNvSpPr txBox="1">
                            <a:spLocks noChangeArrowheads="1"/>
                          </wps:cNvSpPr>
                          <wps:spPr bwMode="auto">
                            <a:xfrm>
                              <a:off x="6327" y="5274"/>
                              <a:ext cx="1309" cy="108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ТП2</w:t>
                                </w:r>
                              </w:p>
                            </w:txbxContent>
                          </wps:txbx>
                          <wps:bodyPr rot="0" vert="horz" wrap="square" lIns="18000" tIns="36000" rIns="18000" bIns="36000" anchor="t" anchorCtr="0" upright="1">
                            <a:noAutofit/>
                          </wps:bodyPr>
                        </wps:wsp>
                        <wps:wsp>
                          <wps:cNvPr id="432" name="Line 324"/>
                          <wps:cNvCnPr/>
                          <wps:spPr bwMode="auto">
                            <a:xfrm flipH="1">
                              <a:off x="5582" y="4485"/>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3" name="Line 325"/>
                          <wps:cNvCnPr/>
                          <wps:spPr bwMode="auto">
                            <a:xfrm flipH="1">
                              <a:off x="5582" y="5274"/>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4" name="Line 326"/>
                          <wps:cNvCnPr/>
                          <wps:spPr bwMode="auto">
                            <a:xfrm flipH="1">
                              <a:off x="5582" y="6203"/>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5" name="Line 327"/>
                          <wps:cNvCnPr/>
                          <wps:spPr bwMode="auto">
                            <a:xfrm flipH="1">
                              <a:off x="5582" y="7121"/>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6" name="Line 328"/>
                          <wps:cNvCnPr/>
                          <wps:spPr bwMode="auto">
                            <a:xfrm flipH="1">
                              <a:off x="6140" y="581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29"/>
                          <wps:cNvCnPr/>
                          <wps:spPr bwMode="auto">
                            <a:xfrm>
                              <a:off x="9693" y="6354"/>
                              <a:ext cx="0" cy="5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38" name="Text Box 330"/>
                          <wps:cNvSpPr txBox="1">
                            <a:spLocks noChangeArrowheads="1"/>
                          </wps:cNvSpPr>
                          <wps:spPr bwMode="auto">
                            <a:xfrm>
                              <a:off x="9132" y="6912"/>
                              <a:ext cx="935" cy="49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Втрати</w:t>
                                </w:r>
                              </w:p>
                            </w:txbxContent>
                          </wps:txbx>
                          <wps:bodyPr rot="0" vert="horz" wrap="square" lIns="18000" tIns="36000" rIns="18000" bIns="36000" anchor="t" anchorCtr="0" upright="1">
                            <a:noAutofit/>
                          </wps:bodyPr>
                        </wps:wsp>
                        <wps:wsp>
                          <wps:cNvPr id="439" name="Text Box 331"/>
                          <wps:cNvSpPr txBox="1">
                            <a:spLocks noChangeArrowheads="1"/>
                          </wps:cNvSpPr>
                          <wps:spPr bwMode="auto">
                            <a:xfrm>
                              <a:off x="1091" y="7689"/>
                              <a:ext cx="1122" cy="144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ТП3.1</w:t>
                                </w:r>
                              </w:p>
                              <w:p w:rsidR="004A36EF" w:rsidRDefault="004A36EF" w:rsidP="004A36EF">
                                <w:pPr>
                                  <w:rPr>
                                    <w:szCs w:val="26"/>
                                  </w:rPr>
                                </w:pPr>
                                <w:r>
                                  <w:rPr>
                                    <w:szCs w:val="26"/>
                                  </w:rPr>
                                  <w:t>Кт,Кмк,</w:t>
                                </w:r>
                              </w:p>
                              <w:p w:rsidR="004A36EF" w:rsidRDefault="004A36EF" w:rsidP="004A36EF">
                                <w:pPr>
                                  <w:rPr>
                                    <w:szCs w:val="26"/>
                                  </w:rPr>
                                </w:pPr>
                                <w:r>
                                  <w:rPr>
                                    <w:szCs w:val="26"/>
                                  </w:rPr>
                                  <w:t>Кп,</w:t>
                                </w:r>
                              </w:p>
                              <w:p w:rsidR="004A36EF" w:rsidRDefault="004A36EF" w:rsidP="004A36EF">
                                <w:pPr>
                                  <w:rPr>
                                    <w:szCs w:val="26"/>
                                  </w:rPr>
                                </w:pPr>
                                <w:r>
                                  <w:rPr>
                                    <w:szCs w:val="26"/>
                                  </w:rPr>
                                  <w:t>Ктокс</w:t>
                                </w:r>
                              </w:p>
                            </w:txbxContent>
                          </wps:txbx>
                          <wps:bodyPr rot="0" vert="horz" wrap="square" lIns="18000" tIns="36000" rIns="18000" bIns="36000" anchor="t" anchorCtr="0" upright="1">
                            <a:noAutofit/>
                          </wps:bodyPr>
                        </wps:wsp>
                        <wps:wsp>
                          <wps:cNvPr id="440" name="Text Box 332"/>
                          <wps:cNvSpPr txBox="1">
                            <a:spLocks noChangeArrowheads="1"/>
                          </wps:cNvSpPr>
                          <wps:spPr bwMode="auto">
                            <a:xfrm>
                              <a:off x="2213" y="7689"/>
                              <a:ext cx="3366" cy="144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Стерилізація пакетів з розч</w:t>
                                </w:r>
                                <w:r>
                                  <w:t>и</w:t>
                                </w:r>
                                <w:r>
                                  <w:t>ном</w:t>
                                </w:r>
                              </w:p>
                            </w:txbxContent>
                          </wps:txbx>
                          <wps:bodyPr rot="0" vert="horz" wrap="square" lIns="18000" tIns="36000" rIns="18000" bIns="36000" anchor="t" anchorCtr="0" upright="1">
                            <a:noAutofit/>
                          </wps:bodyPr>
                        </wps:wsp>
                        <wps:wsp>
                          <wps:cNvPr id="441" name="Text Box 333"/>
                          <wps:cNvSpPr txBox="1">
                            <a:spLocks noChangeArrowheads="1"/>
                          </wps:cNvSpPr>
                          <wps:spPr bwMode="auto">
                            <a:xfrm>
                              <a:off x="7636" y="7831"/>
                              <a:ext cx="2805"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Стерилізація пакетів з розчином</w:t>
                                </w:r>
                              </w:p>
                            </w:txbxContent>
                          </wps:txbx>
                          <wps:bodyPr rot="0" vert="horz" wrap="square" lIns="18000" tIns="36000" rIns="18000" bIns="36000" anchor="t" anchorCtr="0" upright="1">
                            <a:noAutofit/>
                          </wps:bodyPr>
                        </wps:wsp>
                        <wps:wsp>
                          <wps:cNvPr id="442" name="Text Box 334"/>
                          <wps:cNvSpPr txBox="1">
                            <a:spLocks noChangeArrowheads="1"/>
                          </wps:cNvSpPr>
                          <wps:spPr bwMode="auto">
                            <a:xfrm>
                              <a:off x="6327" y="7831"/>
                              <a:ext cx="1309"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ТП3</w:t>
                                </w:r>
                              </w:p>
                            </w:txbxContent>
                          </wps:txbx>
                          <wps:bodyPr rot="0" vert="horz" wrap="square" lIns="18000" tIns="36000" rIns="18000" bIns="36000" anchor="t" anchorCtr="0" upright="1">
                            <a:noAutofit/>
                          </wps:bodyPr>
                        </wps:wsp>
                        <wps:wsp>
                          <wps:cNvPr id="443" name="Line 335"/>
                          <wps:cNvCnPr/>
                          <wps:spPr bwMode="auto">
                            <a:xfrm>
                              <a:off x="8571" y="6354"/>
                              <a:ext cx="0" cy="14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44" name="Text Box 336"/>
                          <wps:cNvSpPr txBox="1">
                            <a:spLocks noChangeArrowheads="1"/>
                          </wps:cNvSpPr>
                          <wps:spPr bwMode="auto">
                            <a:xfrm>
                              <a:off x="9132" y="9125"/>
                              <a:ext cx="935" cy="490"/>
                            </a:xfrm>
                            <a:prstGeom prst="rect">
                              <a:avLst/>
                            </a:prstGeom>
                            <a:solidFill>
                              <a:srgbClr val="FFFFFF"/>
                            </a:solidFill>
                            <a:ln w="9525">
                              <a:solidFill>
                                <a:srgbClr val="000000"/>
                              </a:solidFill>
                              <a:miter lim="800000"/>
                              <a:headEnd/>
                              <a:tailEnd/>
                            </a:ln>
                          </wps:spPr>
                          <wps:txbx>
                            <w:txbxContent>
                              <w:p w:rsidR="004A36EF" w:rsidRDefault="004A36EF" w:rsidP="004A36EF">
                                <w:pPr>
                                  <w:rPr>
                                    <w:sz w:val="26"/>
                                    <w:szCs w:val="26"/>
                                  </w:rPr>
                                </w:pPr>
                                <w:r>
                                  <w:t>Втрати</w:t>
                                </w:r>
                              </w:p>
                            </w:txbxContent>
                          </wps:txbx>
                          <wps:bodyPr rot="0" vert="horz" wrap="square" lIns="18000" tIns="36000" rIns="18000" bIns="36000" anchor="t" anchorCtr="0" upright="1">
                            <a:noAutofit/>
                          </wps:bodyPr>
                        </wps:wsp>
                        <wps:wsp>
                          <wps:cNvPr id="445" name="Line 337"/>
                          <wps:cNvCnPr/>
                          <wps:spPr bwMode="auto">
                            <a:xfrm>
                              <a:off x="9693" y="8551"/>
                              <a:ext cx="0" cy="5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46" name="Text Box 338"/>
                          <wps:cNvSpPr txBox="1">
                            <a:spLocks noChangeArrowheads="1"/>
                          </wps:cNvSpPr>
                          <wps:spPr bwMode="auto">
                            <a:xfrm>
                              <a:off x="7636" y="10314"/>
                              <a:ext cx="2805" cy="108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Упаковка та відвантаже</w:t>
                                </w:r>
                                <w:r>
                                  <w:t>н</w:t>
                                </w:r>
                                <w:r>
                                  <w:t>ня готового</w:t>
                                </w:r>
                              </w:p>
                              <w:p w:rsidR="004A36EF" w:rsidRDefault="004A36EF" w:rsidP="004A36EF">
                                <w:pPr>
                                  <w:jc w:val="center"/>
                                </w:pPr>
                                <w:r>
                                  <w:t>проду</w:t>
                                </w:r>
                                <w:r>
                                  <w:t>к</w:t>
                                </w:r>
                                <w:r>
                                  <w:t>ту</w:t>
                                </w:r>
                              </w:p>
                            </w:txbxContent>
                          </wps:txbx>
                          <wps:bodyPr rot="0" vert="horz" wrap="square" lIns="18000" tIns="36000" rIns="18000" bIns="36000" anchor="t" anchorCtr="0" upright="1">
                            <a:noAutofit/>
                          </wps:bodyPr>
                        </wps:wsp>
                        <wps:wsp>
                          <wps:cNvPr id="447" name="Text Box 339"/>
                          <wps:cNvSpPr txBox="1">
                            <a:spLocks noChangeArrowheads="1"/>
                          </wps:cNvSpPr>
                          <wps:spPr bwMode="auto">
                            <a:xfrm>
                              <a:off x="1091" y="11574"/>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ПМВ4.3</w:t>
                                </w:r>
                              </w:p>
                              <w:p w:rsidR="004A36EF" w:rsidRDefault="004A36EF" w:rsidP="004A36EF">
                                <w:pPr>
                                  <w:rPr>
                                    <w:szCs w:val="26"/>
                                  </w:rPr>
                                </w:pPr>
                                <w:r>
                                  <w:rPr>
                                    <w:szCs w:val="26"/>
                                  </w:rPr>
                                  <w:t>Кт</w:t>
                                </w:r>
                              </w:p>
                            </w:txbxContent>
                          </wps:txbx>
                          <wps:bodyPr rot="0" vert="horz" wrap="square" lIns="18000" tIns="36000" rIns="18000" bIns="36000" anchor="t" anchorCtr="0" upright="1">
                            <a:noAutofit/>
                          </wps:bodyPr>
                        </wps:wsp>
                        <wps:wsp>
                          <wps:cNvPr id="448" name="Text Box 340"/>
                          <wps:cNvSpPr txBox="1">
                            <a:spLocks noChangeArrowheads="1"/>
                          </wps:cNvSpPr>
                          <wps:spPr bwMode="auto">
                            <a:xfrm>
                              <a:off x="2213" y="11574"/>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Упаковка у групову тару</w:t>
                                </w:r>
                              </w:p>
                            </w:txbxContent>
                          </wps:txbx>
                          <wps:bodyPr rot="0" vert="horz" wrap="square" lIns="18000" tIns="36000" rIns="18000" bIns="36000" anchor="t" anchorCtr="0" upright="1">
                            <a:noAutofit/>
                          </wps:bodyPr>
                        </wps:wsp>
                        <wps:wsp>
                          <wps:cNvPr id="449" name="Text Box 341"/>
                          <wps:cNvSpPr txBox="1">
                            <a:spLocks noChangeArrowheads="1"/>
                          </wps:cNvSpPr>
                          <wps:spPr bwMode="auto">
                            <a:xfrm>
                              <a:off x="2213" y="10494"/>
                              <a:ext cx="3366" cy="90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Упаковка пакетів у вторинну упаковку</w:t>
                                </w:r>
                              </w:p>
                            </w:txbxContent>
                          </wps:txbx>
                          <wps:bodyPr rot="0" vert="horz" wrap="square" lIns="18000" tIns="36000" rIns="18000" bIns="36000" anchor="t" anchorCtr="0" upright="1">
                            <a:noAutofit/>
                          </wps:bodyPr>
                        </wps:wsp>
                        <wps:wsp>
                          <wps:cNvPr id="450" name="Text Box 342"/>
                          <wps:cNvSpPr txBox="1">
                            <a:spLocks noChangeArrowheads="1"/>
                          </wps:cNvSpPr>
                          <wps:spPr bwMode="auto">
                            <a:xfrm>
                              <a:off x="1091" y="10494"/>
                              <a:ext cx="1122" cy="90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 w:val="26"/>
                                    <w:szCs w:val="26"/>
                                  </w:rPr>
                                  <w:t>П</w:t>
                                </w:r>
                                <w:r>
                                  <w:rPr>
                                    <w:szCs w:val="26"/>
                                  </w:rPr>
                                  <w:t>МВ4.2</w:t>
                                </w:r>
                              </w:p>
                              <w:p w:rsidR="004A36EF" w:rsidRDefault="004A36EF" w:rsidP="004A36EF">
                                <w:pPr>
                                  <w:rPr>
                                    <w:szCs w:val="26"/>
                                  </w:rPr>
                                </w:pPr>
                                <w:r>
                                  <w:rPr>
                                    <w:szCs w:val="26"/>
                                  </w:rPr>
                                  <w:t>Кт,Кх</w:t>
                                </w:r>
                              </w:p>
                            </w:txbxContent>
                          </wps:txbx>
                          <wps:bodyPr rot="0" vert="horz" wrap="square" lIns="18000" tIns="36000" rIns="18000" bIns="36000" anchor="t" anchorCtr="0" upright="1">
                            <a:noAutofit/>
                          </wps:bodyPr>
                        </wps:wsp>
                        <wps:wsp>
                          <wps:cNvPr id="451" name="Text Box 343"/>
                          <wps:cNvSpPr txBox="1">
                            <a:spLocks noChangeArrowheads="1"/>
                          </wps:cNvSpPr>
                          <wps:spPr bwMode="auto">
                            <a:xfrm>
                              <a:off x="1091" y="9414"/>
                              <a:ext cx="1122" cy="90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ПМВ4.1</w:t>
                                </w:r>
                              </w:p>
                              <w:p w:rsidR="004A36EF" w:rsidRDefault="004A36EF" w:rsidP="004A36EF">
                                <w:pPr>
                                  <w:rPr>
                                    <w:szCs w:val="26"/>
                                  </w:rPr>
                                </w:pPr>
                                <w:r>
                                  <w:rPr>
                                    <w:szCs w:val="26"/>
                                  </w:rPr>
                                  <w:t>Кт</w:t>
                                </w:r>
                              </w:p>
                            </w:txbxContent>
                          </wps:txbx>
                          <wps:bodyPr rot="0" vert="horz" wrap="square" lIns="18000" tIns="36000" rIns="18000" bIns="36000" anchor="t" anchorCtr="0" upright="1">
                            <a:noAutofit/>
                          </wps:bodyPr>
                        </wps:wsp>
                        <wps:wsp>
                          <wps:cNvPr id="452" name="Text Box 344"/>
                          <wps:cNvSpPr txBox="1">
                            <a:spLocks noChangeArrowheads="1"/>
                          </wps:cNvSpPr>
                          <wps:spPr bwMode="auto">
                            <a:xfrm>
                              <a:off x="2213" y="9414"/>
                              <a:ext cx="3366" cy="90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Контроль на механічні домішки та інші види браку</w:t>
                                </w:r>
                              </w:p>
                            </w:txbxContent>
                          </wps:txbx>
                          <wps:bodyPr rot="0" vert="horz" wrap="square" lIns="18000" tIns="36000" rIns="18000" bIns="36000" anchor="t" anchorCtr="0" upright="1">
                            <a:noAutofit/>
                          </wps:bodyPr>
                        </wps:wsp>
                        <wps:wsp>
                          <wps:cNvPr id="453" name="Line 345"/>
                          <wps:cNvCnPr/>
                          <wps:spPr bwMode="auto">
                            <a:xfrm flipH="1">
                              <a:off x="5582" y="9808"/>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4" name="Line 346"/>
                          <wps:cNvCnPr/>
                          <wps:spPr bwMode="auto">
                            <a:xfrm flipH="1">
                              <a:off x="5582" y="11968"/>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5" name="Line 347"/>
                          <wps:cNvCnPr/>
                          <wps:spPr bwMode="auto">
                            <a:xfrm flipH="1">
                              <a:off x="5582" y="10885"/>
                              <a:ext cx="561"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6" name="Line 348"/>
                          <wps:cNvCnPr/>
                          <wps:spPr bwMode="auto">
                            <a:xfrm>
                              <a:off x="6140" y="980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Text Box 349"/>
                          <wps:cNvSpPr txBox="1">
                            <a:spLocks noChangeArrowheads="1"/>
                          </wps:cNvSpPr>
                          <wps:spPr bwMode="auto">
                            <a:xfrm>
                              <a:off x="6327" y="10314"/>
                              <a:ext cx="1309" cy="108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ПМВ4</w:t>
                                </w:r>
                              </w:p>
                            </w:txbxContent>
                          </wps:txbx>
                          <wps:bodyPr rot="0" vert="horz" wrap="square" lIns="18000" tIns="36000" rIns="18000" bIns="36000" anchor="t" anchorCtr="0" upright="1">
                            <a:noAutofit/>
                          </wps:bodyPr>
                        </wps:wsp>
                        <wps:wsp>
                          <wps:cNvPr id="458" name="Line 350"/>
                          <wps:cNvCnPr/>
                          <wps:spPr bwMode="auto">
                            <a:xfrm>
                              <a:off x="6140" y="10888"/>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351"/>
                          <wps:cNvSpPr txBox="1">
                            <a:spLocks noChangeArrowheads="1"/>
                          </wps:cNvSpPr>
                          <wps:spPr bwMode="auto">
                            <a:xfrm>
                              <a:off x="8945" y="11760"/>
                              <a:ext cx="1038" cy="49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Відходи</w:t>
                                </w:r>
                              </w:p>
                            </w:txbxContent>
                          </wps:txbx>
                          <wps:bodyPr rot="0" vert="horz" wrap="square" lIns="18000" tIns="36000" rIns="18000" bIns="36000" anchor="t" anchorCtr="0" upright="1">
                            <a:noAutofit/>
                          </wps:bodyPr>
                        </wps:wsp>
                        <wps:wsp>
                          <wps:cNvPr id="460" name="Line 352"/>
                          <wps:cNvCnPr/>
                          <wps:spPr bwMode="auto">
                            <a:xfrm>
                              <a:off x="7823" y="12633"/>
                              <a:ext cx="261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1" name="Text Box 353"/>
                          <wps:cNvSpPr txBox="1">
                            <a:spLocks noChangeArrowheads="1"/>
                          </wps:cNvSpPr>
                          <wps:spPr bwMode="auto">
                            <a:xfrm>
                              <a:off x="1091" y="12834"/>
                              <a:ext cx="1122" cy="72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ПВ5.1</w:t>
                                </w:r>
                              </w:p>
                            </w:txbxContent>
                          </wps:txbx>
                          <wps:bodyPr rot="0" vert="horz" wrap="square" lIns="18000" tIns="36000" rIns="18000" bIns="36000" anchor="t" anchorCtr="0" upright="1">
                            <a:noAutofit/>
                          </wps:bodyPr>
                        </wps:wsp>
                        <wps:wsp>
                          <wps:cNvPr id="462" name="Text Box 354"/>
                          <wps:cNvSpPr txBox="1">
                            <a:spLocks noChangeArrowheads="1"/>
                          </wps:cNvSpPr>
                          <wps:spPr bwMode="auto">
                            <a:xfrm>
                              <a:off x="2213" y="12834"/>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Регенерація розчину</w:t>
                                </w:r>
                              </w:p>
                            </w:txbxContent>
                          </wps:txbx>
                          <wps:bodyPr rot="0" vert="horz" wrap="square" lIns="18000" tIns="36000" rIns="18000" bIns="36000" anchor="t" anchorCtr="0" upright="1">
                            <a:noAutofit/>
                          </wps:bodyPr>
                        </wps:wsp>
                        <wps:wsp>
                          <wps:cNvPr id="463" name="Text Box 355"/>
                          <wps:cNvSpPr txBox="1">
                            <a:spLocks noChangeArrowheads="1"/>
                          </wps:cNvSpPr>
                          <wps:spPr bwMode="auto">
                            <a:xfrm>
                              <a:off x="7636" y="12813"/>
                              <a:ext cx="2618" cy="900"/>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Переробка використ</w:t>
                                </w:r>
                                <w:r>
                                  <w:t>а</w:t>
                                </w:r>
                                <w:r>
                                  <w:t>них відходів</w:t>
                                </w:r>
                              </w:p>
                            </w:txbxContent>
                          </wps:txbx>
                          <wps:bodyPr rot="0" vert="horz" wrap="square" lIns="18000" tIns="36000" rIns="18000" bIns="36000" anchor="t" anchorCtr="0" upright="1">
                            <a:noAutofit/>
                          </wps:bodyPr>
                        </wps:wsp>
                        <wps:wsp>
                          <wps:cNvPr id="464" name="Text Box 356"/>
                          <wps:cNvSpPr txBox="1">
                            <a:spLocks noChangeArrowheads="1"/>
                          </wps:cNvSpPr>
                          <wps:spPr bwMode="auto">
                            <a:xfrm>
                              <a:off x="6327" y="12813"/>
                              <a:ext cx="1309" cy="900"/>
                            </a:xfrm>
                            <a:prstGeom prst="rect">
                              <a:avLst/>
                            </a:prstGeom>
                            <a:solidFill>
                              <a:srgbClr val="FFFFFF"/>
                            </a:solidFill>
                            <a:ln w="9525">
                              <a:solidFill>
                                <a:srgbClr val="000000"/>
                              </a:solidFill>
                              <a:miter lim="800000"/>
                              <a:headEnd/>
                              <a:tailEnd/>
                            </a:ln>
                          </wps:spPr>
                          <wps:txbx>
                            <w:txbxContent>
                              <w:p w:rsidR="004A36EF" w:rsidRDefault="004A36EF" w:rsidP="004A36EF">
                                <w:pPr>
                                  <w:rPr>
                                    <w:szCs w:val="26"/>
                                  </w:rPr>
                                </w:pPr>
                                <w:r>
                                  <w:rPr>
                                    <w:szCs w:val="26"/>
                                  </w:rPr>
                                  <w:t>ПВ5</w:t>
                                </w:r>
                              </w:p>
                            </w:txbxContent>
                          </wps:txbx>
                          <wps:bodyPr rot="0" vert="horz" wrap="square" lIns="18000" tIns="36000" rIns="18000" bIns="36000" anchor="t" anchorCtr="0" upright="1">
                            <a:noAutofit/>
                          </wps:bodyPr>
                        </wps:wsp>
                        <wps:wsp>
                          <wps:cNvPr id="465" name="Line 357"/>
                          <wps:cNvCnPr/>
                          <wps:spPr bwMode="auto">
                            <a:xfrm flipH="1">
                              <a:off x="5582" y="13194"/>
                              <a:ext cx="748"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6" name="Line 358"/>
                          <wps:cNvCnPr/>
                          <wps:spPr bwMode="auto">
                            <a:xfrm flipH="1">
                              <a:off x="904" y="131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359"/>
                          <wps:cNvSpPr>
                            <a:spLocks/>
                          </wps:cNvSpPr>
                          <wps:spPr bwMode="auto">
                            <a:xfrm>
                              <a:off x="900" y="3507"/>
                              <a:ext cx="5" cy="9672"/>
                            </a:xfrm>
                            <a:custGeom>
                              <a:avLst/>
                              <a:gdLst>
                                <a:gd name="T0" fmla="*/ 0 w 5"/>
                                <a:gd name="T1" fmla="*/ 10128 h 10128"/>
                                <a:gd name="T2" fmla="*/ 5 w 5"/>
                                <a:gd name="T3" fmla="*/ 0 h 10128"/>
                              </a:gdLst>
                              <a:ahLst/>
                              <a:cxnLst>
                                <a:cxn ang="0">
                                  <a:pos x="T0" y="T1"/>
                                </a:cxn>
                                <a:cxn ang="0">
                                  <a:pos x="T2" y="T3"/>
                                </a:cxn>
                              </a:cxnLst>
                              <a:rect l="0" t="0" r="r" b="b"/>
                              <a:pathLst>
                                <a:path w="5" h="10128">
                                  <a:moveTo>
                                    <a:pt x="0" y="10128"/>
                                  </a:moveTo>
                                  <a:lnTo>
                                    <a:pt x="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360"/>
                          <wps:cNvCnPr/>
                          <wps:spPr bwMode="auto">
                            <a:xfrm>
                              <a:off x="904" y="3507"/>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61"/>
                          <wps:cNvCnPr/>
                          <wps:spPr bwMode="auto">
                            <a:xfrm>
                              <a:off x="2400" y="3507"/>
                              <a:ext cx="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0" name="Line 362"/>
                          <wps:cNvCnPr/>
                          <wps:spPr bwMode="auto">
                            <a:xfrm>
                              <a:off x="4831" y="3507"/>
                              <a:ext cx="0" cy="36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1" name="Line 363"/>
                          <wps:cNvCnPr/>
                          <wps:spPr bwMode="auto">
                            <a:xfrm>
                              <a:off x="4831" y="3507"/>
                              <a:ext cx="31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Text Box 364"/>
                          <wps:cNvSpPr txBox="1">
                            <a:spLocks noChangeArrowheads="1"/>
                          </wps:cNvSpPr>
                          <wps:spPr bwMode="auto">
                            <a:xfrm>
                              <a:off x="9035" y="13918"/>
                              <a:ext cx="935" cy="392"/>
                            </a:xfrm>
                            <a:prstGeom prst="rect">
                              <a:avLst/>
                            </a:prstGeom>
                            <a:solidFill>
                              <a:srgbClr val="FFFFFF"/>
                            </a:solidFill>
                            <a:ln w="9525">
                              <a:solidFill>
                                <a:srgbClr val="000000"/>
                              </a:solidFill>
                              <a:miter lim="800000"/>
                              <a:headEnd/>
                              <a:tailEnd/>
                            </a:ln>
                          </wps:spPr>
                          <wps:txbx>
                            <w:txbxContent>
                              <w:p w:rsidR="004A36EF" w:rsidRDefault="004A36EF" w:rsidP="004A36EF">
                                <w:pPr>
                                  <w:jc w:val="center"/>
                                </w:pPr>
                                <w:r>
                                  <w:t>Втрати</w:t>
                                </w:r>
                              </w:p>
                            </w:txbxContent>
                          </wps:txbx>
                          <wps:bodyPr rot="0" vert="horz" wrap="square" lIns="18000" tIns="36000" rIns="18000" bIns="36000" anchor="t" anchorCtr="0" upright="1">
                            <a:noAutofit/>
                          </wps:bodyPr>
                        </wps:wsp>
                        <wps:wsp>
                          <wps:cNvPr id="473" name="Line 365"/>
                          <wps:cNvCnPr/>
                          <wps:spPr bwMode="auto">
                            <a:xfrm>
                              <a:off x="6157" y="4489"/>
                              <a:ext cx="0" cy="2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04" o:spid="_x0000_s1026" style="position:absolute;margin-left:.4pt;margin-top:9pt;width:477.05pt;height:675.65pt;z-index:-251656192" coordorigin="1142,1502" coordsize="9541,1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YPAw8AAPm9AAAOAAAAZHJzL2Uyb0RvYy54bWzsXWtu48gR/h8gdyD4M4BHbL5ECqNZzPgx&#10;WWA2GWAmB6AlSiKWIhmStjRZBAiQI+QiuUGusHujVD9YTVK0ZWu8kg2XBxiTIk314+vqqu+rbr79&#10;YbtOjdu4rJI8m5rsjWUacTbL50m2nJp/+3p1FphGVUfZPErzLJ6a3+LK/OHdH//wdlNMYjtf5ek8&#10;Lg14SFZNNsXUXNV1MRmNqtkqXkfVm7yIM7i4yMt1VMNpuRzNy2gDT1+nI9uy/NEmL+dFmc/iqoJP&#10;L+RF8514/mIRz+q/LhZVXBvp1ISy1eL/Uvx/zf8fvXsbTZZlVKySmSpGdEAp1lGSwZfioy6iOjJu&#10;ymTnUetkVuZVvqjfzPL1KF8sklks6gC1YVavNh/L/KYQdVlONssCmwmattdOBz929pfbz6WRzKem&#10;a7mmkUVr6KRf//Pbv37796//g3//Nfjn0EqbYjmBmz+WxZficymrCoef8tnPFVwe9a/z86W82bje&#10;/JTP4bnRTZ2LVtouyjV/BNTf2IrO+IadEW9rYwYf+pYXeI5nGjO4FniBNfY82V2zFfQp/zvGXNs0&#10;4DLzLLu5dqn+PvRcJv+YOR5z+OVRNJHfLEqrSserBtirdPNW39e8X1ZREYteq3iLYfNCVWTzfuVV&#10;/JBvDTscy6YVN/J2NeotXIAKiWaqZPMaWX6+irJl/L4s880qjuZQQiYqxIsO3yG7hJ9U/CH72pvZ&#10;wVi0mxM4onOjCba6H0CT8iZ3HdGk2GbRpCir+mOcrw1+MDVLGFyimNHtp6qWzdvcwju3ytNkfpWk&#10;qTgpl9fnaWncRjAQr8SP6pHObWnGb85y/mfyifITKB58B7/GCyoG1i8hs13rgx2eXfnB+My9cr2z&#10;cGwFZxYLP4S+5YbuxdU/eQGZO1kl83mcfUqyuBnkzH1YLytzI4enGObGZmqGnu3JLrqzkpb4Gark&#10;OqnB5qXJGnCNN0UT3rGX2RyqHU3qKEnl8ahbfAFiaIPmt2gVgLPseYnlenu9hafwD6/z+TcARJlD&#10;f4H5A0MNB6u8/IdpbMDoTc0MrLJppD9mAKmQuS63keLE9cY2nJTtK9ftK1E2gwdNzdo05OF5Le3q&#10;TVEmyxV8jwRxlr+HYb9IBEJ0mYTJEOPuaAPQHxiAwUkGYGCFYGy54bLDQE1CzQi0bfhEjEAPekMO&#10;gsZeNsOLRuDzH4FiUhVWWoP+noFY/f0mKp/DUFTTNh+VYsbH+QumDDl/CbcEJq9Qjp3fzy8YmN+b&#10;UTIwu0cTdAxCC4YQDK+xnGD5lcvn6haAgyybVcxODpRc2W6Y18+zz6U6e9DEHnhj8Hm4XQm83sSu&#10;bIrjglW/16ikMEneN63j5BxN0uy750LwcNWUNzD9GfW3AtzGqo6jtF7BlAXHa5itYgg11vFc1eMe&#10;D8EKL4PLwD1zbf/yzLUuLs7eX527Z/4VG3sXzsX5+QXregjc7/h+D6Hnw6D/IZ0h8Kj2TOBy1ua9&#10;xE0HuKZHmyLDHhjRfh0AxtCzYMblYHQ8vzfJNWiUn9/tYxIYZWgMTuCh7uqLBSMDkHQso4hH+Ig4&#10;BIx+6EgwMgd8LxhbOuYhMJJlRAbpjuidwbzaAaMgFA4E4ziw94GR2S/INEp/guZhQVk+ioq7C23A&#10;wUi0IVfkNDQcEj5H4oqsULqU6Es3LjhjtqKKmCWD2Lvn8d+HK/pu7/ORTAw4vMon4964dMo42SJC&#10;PZyd9nIu3VCPcQ6oYV0cX5xI1kVdkayLuvLiWBdgXnehLIhcZTw5d3kcKNs2Lww4pEHDFjdQdhwf&#10;XFXOehKU51MT5zaCcpvBZyiQqFDd537kY3wAY5EmxZ8BZSLAVuqH540h7BJxkozNtWfq+UrCoJid&#10;Yva7fIVdXcmxTqQrNb6CbUnqWiO57SyMRfz1qp0F0QLccpCF7VjYXYnGsU4j0aCzsIvltrdAWDbR&#10;mSMsd7CMeonyFpRc8nD66n5vAcRv8URtY8lbIB5rL4/Vk5uAZH2kD8uZU+W5+oznCwjPlfWwqDjV&#10;/eHUM2L4icZqZd49CY3Vk5OARH0KsAV9NYnxdCYevb+cMImw9sRY48lKfcqUISencuSOwzP5ji3T&#10;65gL3Cn0tJ6idRjEs6skCI6a3POsKFPkT8hzbHuONmpNmv2XCaxHp0zHrqu4qR0oQ/6Pov8JypBp&#10;1MxsBOUOlAeELKBRtRdwAvbfCW1heLRV1gF9INmGV81NId9CUO5AeUDIYsh9HNXBYA3Pugtl7WAQ&#10;lCGjvbE0BOUOlFHIajkY6IwdFcpIs4J/0UvL0laZHAwuTBOWh5ZVwTqc3bgPvbHTYNkLXCGhD3kY&#10;hGXAMvJAZJc7dnlA/mLojp0Gy/4YchA6HAbZZdBtMe1Lc0yE5Q6WUf5q+Rjojx0Vy+gu7/oY2l0m&#10;uwx2mRK/Bpdu2yiaaSxL+vbohBxiedfHICx37DKyTGSXO3YZNbkWltEfO41d3vUxCMsdLCPNRFhu&#10;Y9kZ0PxgTcIp2OWx78jFjp4tU8J07Afr+SFGpeRytU6CIdFEYO6AeUD1g2VipwAzCti7YGYOZJ0R&#10;mJtFPwyZJgJzB8yo+8nkRxu9MfAwHrSrwR3Jj3x3Ikj0cd1AzInaylLyIyU/7kt+dFDCU6hEv+pp&#10;ULlrLgmVhMq9qEQ1TqESHaSnQaVvWz01glBJqNyLStTVFCrR03kaVI4ZpLl1dAVCJaFyLypRIVOo&#10;bKtjh/uVuJDBC/pZCJRbDhtnvvJtsRzUshTq2jrWg1DXWjQTNjsR+c4de7Tt3fcxpS3axIbRr3FX&#10;LGdAiwIe9BQ0Uchgi2AejfuwFW93Lg+bjZvdkJY56BQOIok6JNGAFOWcWIoa+0FvJaOWosT2yDDQ&#10;XnV2uFzoSVsXNPu+NNvj8pWw/fVncgf1o+cIYE7tLph17haBGTY60kkcZJnblpm/OWEHzKfRolBY&#10;HQdybtCUvxZWKXkLsIwzJ2G5g2WUonTCi3zrxdENM+qqu1jWuiphGbCMSRyE5Q6WewIWRFk68Hss&#10;EYGbxd9JROz3EYiJeL37c7uoW7UMa1u7Ot7aXmQigIjo5QUQE9FarKDziciuduxqT+wCwvdwu4oE&#10;b+B5PYlL7YpEBC+9gyNb3rGfp4sSV8ustmWu45lVjL2Y5fR1MR187d/j6zXs/o0JbmRZO5YVpbMW&#10;mtvy2fHQjEtnGPP6Odqa5KXwC8IvDCsIzB0wD2hvcqPjo1MJyPEOgFmTvARmADOGJATmDpgH1Dfg&#10;fbXfezzLrMHM39raVZI1mPlL/V67+gYbC6oOIjC3wewNqG/wbuhTgFm7Gbtg1m4GgRksM0Y1BOYO&#10;mAfUN7mhzNHdDARz6PYDQMJye4mujTENYbmD5QH1DYjjUxhm9DJ2sUxORhvLOp2QsNzBck99czFM&#10;fpolEfAqeDEj6gwHWhJBSyL2LYmAJHKVqyOT04E/1tb1QZrw/UttGQt9gmVIrxLPy/nItpg12sBR&#10;sReWPUnNxcj1aYwlqA60BPwXgiUH42NgieqaspYYgz4Ulq2lPLhsbHfmVkqvzeg1zq83Q8YbEL/g&#10;fQp6ej4exYqphwNSLqM9XTrhD5LgFP50wh9Uv6TpBM5VI/lBjuaQ6eTzeM+9pCW3tOTWG1CnZDbV&#10;0TnQIIRAX7zljo133jxm8fWYfG83WugI7w1HxYUsZ9tyAmo6IbqH7XSA0zkOIItTwNH2YUMjMMGa&#10;L7J9WGv6wt6EZ9TfinhqVnUcpfXK5C8oq9amkcbZ1FzHc15BWHCZZqqen6q6qfFNmUxNCoFEPP6I&#10;EIi/U76/uMs7zeIulJeYHcg1ORrLWl+iLBYwrdhBZFo7pnVAX5LbahzdT0B9aQDMWmAiMAOYUQAk&#10;MHfAjAKTTpb12iLT8fgCnfptB/K1ANoyay+DslgAzNhBBOYOmFGXaoG5rU0dD8ya/NoFsya/CMwA&#10;ZuwgAnMHzD01C5jdR3Jfe0RWh/UTX8cuhXIXZ++vzmmt2J1rxfyemuU9Ws0ahGVoge0GTovtopK4&#10;WeJmfZS1rso4XuTl2nCAr9UGkc/snKSpik/57OeKMzitaOyd2DqpgnuM681P+RzIn+imzk3+F9tF&#10;uea/88XC2ML7WyHlnwPR8SxhcLUPCvaYs66hPxZcWmtLrtlNVX+Mc/GY6BboIvj6aLKcK+JoOW/I&#10;D3j0Yp1GU/NPI8MyNobw4/idzQ3Ak+ANzIKozlgZ4rck3fSNEIPijd7Qk8Cvxxus9lOg3FiyaNUU&#10;drbNVGnhyIiy5dS0RPMUecWb5atsla9CqIJHwF28jnfcDKWDlvoqCITmZvlbfQlfnmmk/DuMWvxf&#10;Ts3SNK6n5rWsaRHVvGz8O/ghp+ig/Vf8paTQKqJk6/w2/pqLO2peRFlCbC34Pn1HmrXvlNx6s7RD&#10;XoPb+RcJ5g+/nJe51bdZznclFZ2bZrxIoQfr1ngJqjxN5vyiOCmX1+dpadxGvIbih1cKHta5rcxv&#10;srl42CqO5pfquI6SVB7D/c+TguzUompX9kr87FZ2BNtmTlbJXBky0RbxFnoX6gi/RUeL8cqHqBys&#10;j3QG4VW+fDu0+sesAmHE45SHUYoTdeW6fSXKZqscIFebAHV+eF7DGfzJTVEmyxVAkoluzfL3YCYW&#10;CR/QonyyVOpkUxWyrHBgyJQDsDlTc1XXxWQ0qmareB1Vb9bJrMyrfFG/meXrEZiZZBY/mkAFx0wS&#10;qFIIlaKQsnCPFUKbuXbXxDE3hOmdW7lmcDTWsSiliTP4wdRMn892sHJkPc+Rggbj4AHQAO+YWEMd&#10;VGENkxMOkI5s9875FIYbR5rzgtKVSDjiJueIWBwDSDp273tkTJdv5zfs2xEWKet9X3rxGEVMZRdR&#10;HzvALt6DRYeNwQLTJJymyql6jXuuQ4zZxITgIBsf8q3h+KhhAeB4wGvUW7jQOKsq9DWy/HwFAVz8&#10;vizzDQ8twCWVYduhETHfWR1mauaEcl9xHRPjVmdO2A+Kex7jK9iQR2/h9cjghQUQJDbBC/hD/EQG&#10;L+qKDF7UlRcXvIxRY1SGE+WrAwynDzvpCDTC+/gEAaTBqCZx25fL8CG2pOjlYdHovIw2SbaUGT3r&#10;KMlU9KvojqeJXiCAXk6WZfEFomZxvFnyI6CjyqhYJbOLqI7a5+KuSWznqzydx+W7/wMAAP//AwBQ&#10;SwMEFAAGAAgAAAAhACzXRjnfAAAACAEAAA8AAABkcnMvZG93bnJldi54bWxMj0FLw0AQhe+C/2EZ&#10;wZvdxNjSpNmUUtRTEWwF6W2anSah2d2Q3Sbpv3c86XHee7z5Xr6eTCsG6n3jrIJ4FoEgWzrd2ErB&#10;1+HtaQnCB7QaW2dJwY08rIv7uxwz7Ub7ScM+VIJLrM9QQR1Cl0npy5oM+pnryLJ3dr3BwGdfSd3j&#10;yOWmlc9RtJAGG8sfauxoW1N52V+NgvcRx00Svw67y3l7Ox7mH9+7mJR6fJg2KxCBpvAXhl98RoeC&#10;mU7uarUXrQLmDqwueRC76fwlBXFiIVmkCcgil/8HFD8AAAD//wMAUEsBAi0AFAAGAAgAAAAhALaD&#10;OJL+AAAA4QEAABMAAAAAAAAAAAAAAAAAAAAAAFtDb250ZW50X1R5cGVzXS54bWxQSwECLQAUAAYA&#10;CAAAACEAOP0h/9YAAACUAQAACwAAAAAAAAAAAAAAAAAvAQAAX3JlbHMvLnJlbHNQSwECLQAUAAYA&#10;CAAAACEAX87mDwMPAAD5vQAADgAAAAAAAAAAAAAAAAAuAgAAZHJzL2Uyb0RvYy54bWxQSwECLQAU&#10;AAYACAAAACEALNdGOd8AAAAIAQAADwAAAAAAAAAAAAAAAABdEQAAZHJzL2Rvd25yZXYueG1sUEsF&#10;BgAAAAAEAAQA8wAAAGkSAAAAAA==&#10;">
                <v:shapetype id="_x0000_t202" coordsize="21600,21600" o:spt="202" path="m,l,21600r21600,l21600,xe">
                  <v:stroke joinstyle="miter"/>
                  <v:path gradientshapeok="t" o:connecttype="rect"/>
                </v:shapetype>
                <v:shape id="Text Box 297" o:spid="_x0000_s1027" type="#_x0000_t202" style="position:absolute;left:1287;top:3834;width:668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AOcMA&#10;AADcAAAADwAAAGRycy9kb3ducmV2LnhtbESPT2sCMRTE7wW/Q3gFbzXb4hZZjSKKIIgH/4DXR/K6&#10;Wbp5WTepxm/fFIQeh5n5DTNbJNeKG/Wh8azgfVSAINbeNFwrOJ82bxMQISIbbD2TggcFWMwHLzOs&#10;jL/zgW7HWIsM4VChAhtjV0kZtCWHYeQ74ux9+d5hzLKvpenxnuGulR9F8SkdNpwXLHa0sqS/jz9O&#10;wZXW++WlPGu9SeVur63ZTZJRaviallMQkVL8Dz/bW6NgXJTwdyYf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zAOcMAAADcAAAADwAAAAAAAAAAAAAAAACYAgAAZHJzL2Rv&#10;d25yZXYueG1sUEsFBgAAAAAEAAQA9QAAAIgDAAAAAA==&#10;" stroked="f">
                  <v:textbox>
                    <w:txbxContent>
                      <w:p w:rsidR="004A36EF" w:rsidRDefault="004A36EF" w:rsidP="004A36EF">
                        <w:pPr>
                          <w:widowControl w:val="0"/>
                          <w:spacing w:line="360" w:lineRule="auto"/>
                          <w:ind w:firstLine="240"/>
                          <w:jc w:val="both"/>
                          <w:rPr>
                            <w:lang w:val="uk-UA"/>
                          </w:rPr>
                        </w:pPr>
                        <w:r>
                          <w:rPr>
                            <w:lang w:val="uk-UA"/>
                          </w:rPr>
                          <w:t>Розчин</w:t>
                        </w:r>
                        <w:r>
                          <w:rPr>
                            <w:sz w:val="22"/>
                            <w:lang w:val="uk-UA"/>
                          </w:rPr>
                          <w:tab/>
                        </w:r>
                        <w:r>
                          <w:rPr>
                            <w:sz w:val="22"/>
                            <w:lang w:val="uk-UA"/>
                          </w:rPr>
                          <w:tab/>
                        </w:r>
                        <w:r>
                          <w:rPr>
                            <w:sz w:val="22"/>
                            <w:lang w:val="uk-UA"/>
                          </w:rPr>
                          <w:tab/>
                        </w:r>
                        <w:r>
                          <w:rPr>
                            <w:sz w:val="22"/>
                            <w:lang w:val="uk-UA"/>
                          </w:rPr>
                          <w:tab/>
                          <w:t xml:space="preserve">  </w:t>
                        </w:r>
                        <w:r>
                          <w:rPr>
                            <w:lang w:val="uk-UA"/>
                          </w:rPr>
                          <w:t>Сировина, вода для ін’єкцій</w:t>
                        </w:r>
                      </w:p>
                    </w:txbxContent>
                  </v:textbox>
                </v:shape>
                <v:shape id="Text Box 298" o:spid="_x0000_s1028" type="#_x0000_t202" style="position:absolute;left:8094;top:12980;width:22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esMA&#10;AADcAAAADwAAAGRycy9kb3ducmV2LnhtbESP0YrCMBRE3xf8h3AFX5Ztqmjd7RpFBcVXXT/gtrm2&#10;ZZub0kRb/94Igo/DzJxhFqve1OJGrassKxhHMQji3OqKCwXnv93XNwjnkTXWlknBnRysloOPBaba&#10;dnyk28kXIkDYpaig9L5JpXR5SQZdZBvi4F1sa9AH2RZSt9gFuKnlJI4TabDisFBiQ9uS8v/T1Si4&#10;HLrP2U+X7f15fpwmG6zmmb0rNRr2618Qnnr/Dr/aB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fResMAAADcAAAADwAAAAAAAAAAAAAAAACYAgAAZHJzL2Rv&#10;d25yZXYueG1sUEsFBgAAAAAEAAQA9QAAAIgDAAAAAA==&#10;" stroked="f">
                  <v:textbox>
                    <w:txbxContent>
                      <w:p w:rsidR="004A36EF" w:rsidRDefault="004A36EF" w:rsidP="004A36EF">
                        <w:pPr>
                          <w:widowControl w:val="0"/>
                          <w:tabs>
                            <w:tab w:val="left" w:pos="6840"/>
                          </w:tabs>
                          <w:spacing w:line="360" w:lineRule="auto"/>
                          <w:jc w:val="both"/>
                          <w:rPr>
                            <w:lang w:val="uk-UA"/>
                          </w:rPr>
                        </w:pPr>
                        <w:r>
                          <w:rPr>
                            <w:lang w:val="uk-UA"/>
                          </w:rPr>
                          <w:t>Готовий пр</w:t>
                        </w:r>
                        <w:r>
                          <w:rPr>
                            <w:lang w:val="uk-UA"/>
                          </w:rPr>
                          <w:t>о</w:t>
                        </w:r>
                        <w:r>
                          <w:rPr>
                            <w:lang w:val="uk-UA"/>
                          </w:rPr>
                          <w:t>дукт</w:t>
                        </w:r>
                      </w:p>
                    </w:txbxContent>
                  </v:textbox>
                </v:shape>
                <v:group id="Group 299" o:spid="_x0000_s1029" style="position:absolute;left:1142;top:1502;width:9541;height:13513" coordorigin="900,797" coordsize="9541,1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Line 300" o:spid="_x0000_s1030" style="position:absolute;visibility:visible;mso-wrap-style:square" from="8571,1854" to="857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AwMMAAADcAAAADwAAAGRycy9kb3ducmV2LnhtbERPz2vCMBS+C/4P4Qm7iKYbIq6aigwK&#10;HoYwt4O7PZq3pmvzUpNou/9+OQx2/Ph+7/aj7cSdfGgcK3hcZiCIK6cbrhV8vJeLDYgQkTV2jknB&#10;DwXYF9PJDnPtBn6j+znWIoVwyFGBibHPpQyVIYth6XrixH05bzEm6GupPQ4p3HbyKcvW0mLDqcFg&#10;Ty+GqvZ8swq8j6Fpy+fP4XL9Xpen8nWcm0qph9l42IKINMZ/8Z/7qBWssrQ2nU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jQMDDAAAA3AAAAA8AAAAAAAAAAAAA&#10;AAAAoQIAAGRycy9kb3ducmV2LnhtbFBLBQYAAAAABAAEAPkAAACRAwAAAAA=&#10;">
                    <v:stroke endarrow="classic" endarrowwidth="narrow"/>
                  </v:line>
                  <v:line id="Line 301" o:spid="_x0000_s1031" style="position:absolute;visibility:visible;mso-wrap-style:square" from="9506,13560" to="9506,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W8YAAADcAAAADwAAAGRycy9kb3ducmV2LnhtbESPzWrDMBCE74G+g9hCLqGRW0Ko3Sih&#10;BAw9hEJ+Du1tsbaWG2vlSGrsvn0UCOQ4zMw3zGI12FacyYfGsYLnaQaCuHK64VrBYV8+vYIIEVlj&#10;65gU/FOA1fJhtMBCu563dN7FWiQIhwIVmBi7QspQGbIYpq4jTt6P8xZjkr6W2mOf4LaVL1k2lxYb&#10;TgsGO1obqo67P6vA+xiaY5l/91+n33n5WW6GiamUGj8O728gIg3xHr61P7SCWZb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v5VvGAAAA3AAAAA8AAAAAAAAA&#10;AAAAAAAAoQIAAGRycy9kb3ducmV2LnhtbFBLBQYAAAAABAAEAPkAAACUAwAAAAA=&#10;">
                    <v:stroke endarrow="classic" endarrowwidth="narrow"/>
                  </v:line>
                  <v:line id="Line 302" o:spid="_x0000_s1032" style="position:absolute;visibility:visible;mso-wrap-style:square" from="9693,11394" to="9693,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aG8IAAADcAAAADwAAAGRycy9kb3ducmV2LnhtbERPz2vCMBS+C/sfwht4kZkqIltnlCEU&#10;PIig7rDdHs1b09m81CTa+t+bg+Dx4/u9WPW2EVfyoXasYDLOQBCXTtdcKfg+Fm/vIEJE1tg4JgU3&#10;CrBavgwWmGvX8Z6uh1iJFMIhRwUmxjaXMpSGLIaxa4kT9+e8xZigr6T22KVw28hpls2lxZpTg8GW&#10;1obK0+FiFXgfQ30qPn67n/P/vNgV235kSqWGr/3XJ4hIfXyKH+6NVjCbp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zaG8IAAADcAAAADwAAAAAAAAAAAAAA&#10;AAChAgAAZHJzL2Rvd25yZXYueG1sUEsFBgAAAAAEAAQA+QAAAJADAAAAAA==&#10;">
                    <v:stroke endarrow="classic" endarrowwidth="narrow"/>
                  </v:line>
                  <v:line id="Line 303" o:spid="_x0000_s1033" style="position:absolute;visibility:visible;mso-wrap-style:square" from="7823,11394" to="7823,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shape id="Text Box 304" o:spid="_x0000_s1034" type="#_x0000_t202" style="position:absolute;left:1091;top:797;width:112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o0cMA&#10;AADcAAAADwAAAGRycy9kb3ducmV2LnhtbESPS6vCMBSE94L/IRzBnSY+EKlGEVFwcTe+cHtojm3v&#10;bU5KE7XXX28EweUwM98w82VjS3Gn2heONQz6CgRx6kzBmYbTcdubgvAB2WDpmDT8k4flot2aY2Lc&#10;g/d0P4RMRAj7BDXkIVSJlD7NyaLvu4o4eldXWwxR1pk0NT4i3JZyqNREWiw4LuRY0Tqn9O9wsxp+&#10;Ls0+G7nnr9rY43ns1qe02Cqtu51mNQMRqAnf8Ke9MxrGgyG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o0cMAAADcAAAADwAAAAAAAAAAAAAAAACYAgAAZHJzL2Rv&#10;d25yZXYueG1sUEsFBgAAAAAEAAQA9QAAAIgDAAAAAA==&#10;">
                    <v:textbox inset=".5mm,1mm,.5mm,1mm">
                      <w:txbxContent>
                        <w:p w:rsidR="004A36EF" w:rsidRDefault="004A36EF" w:rsidP="004A36EF">
                          <w:pPr>
                            <w:rPr>
                              <w:szCs w:val="26"/>
                            </w:rPr>
                          </w:pPr>
                          <w:r>
                            <w:rPr>
                              <w:szCs w:val="26"/>
                            </w:rPr>
                            <w:t>ВР1.1</w:t>
                          </w:r>
                        </w:p>
                        <w:p w:rsidR="004A36EF" w:rsidRDefault="004A36EF" w:rsidP="004A36EF">
                          <w:pPr>
                            <w:rPr>
                              <w:szCs w:val="26"/>
                            </w:rPr>
                          </w:pPr>
                          <w:r>
                            <w:rPr>
                              <w:szCs w:val="26"/>
                            </w:rPr>
                            <w:t>Кт,КХ,</w:t>
                          </w:r>
                        </w:p>
                        <w:p w:rsidR="004A36EF" w:rsidRDefault="004A36EF" w:rsidP="004A36EF">
                          <w:pPr>
                            <w:rPr>
                              <w:szCs w:val="26"/>
                            </w:rPr>
                          </w:pPr>
                          <w:r>
                            <w:rPr>
                              <w:szCs w:val="26"/>
                            </w:rPr>
                            <w:t>Кмк</w:t>
                          </w:r>
                        </w:p>
                      </w:txbxContent>
                    </v:textbox>
                  </v:shape>
                  <v:shape id="Text Box 305" o:spid="_x0000_s1035" type="#_x0000_t202" style="position:absolute;left:2213;top:802;width:336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NSsMA&#10;AADcAAAADwAAAGRycy9kb3ducmV2LnhtbESPS6vCMBSE94L/IRzBnSY+uEg1ioiCCze+cHtojm3v&#10;bU5KE7X6640g3OUwM98ws0VjS3Gn2heONQz6CgRx6kzBmYbTcdObgPAB2WDpmDQ8ycNi3m7NMDHu&#10;wXu6H0ImIoR9ghryEKpESp/mZNH3XUUcvaurLYYo60yaGh8Rbks5VOpHWiw4LuRY0Sqn9O9wsxp2&#10;l2afjdzrV63t8Tx2q1NabJTW3U6znIII1IT/8Le9NRrGgx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vNSsMAAADcAAAADwAAAAAAAAAAAAAAAACYAgAAZHJzL2Rv&#10;d25yZXYueG1sUEsFBgAAAAAEAAQA9QAAAIgDAAAAAA==&#10;">
                    <v:textbox inset=".5mm,1mm,.5mm,1mm">
                      <w:txbxContent>
                        <w:p w:rsidR="004A36EF" w:rsidRDefault="004A36EF" w:rsidP="004A36EF">
                          <w:pPr>
                            <w:jc w:val="center"/>
                            <w:rPr>
                              <w:lang w:val="uk-UA"/>
                            </w:rPr>
                          </w:pPr>
                          <w:r>
                            <w:rPr>
                              <w:lang w:val="uk-UA"/>
                            </w:rPr>
                            <w:t>Підготовка виробничих приміщень та обладнання до р</w:t>
                          </w:r>
                          <w:r>
                            <w:rPr>
                              <w:lang w:val="uk-UA"/>
                            </w:rPr>
                            <w:t>о</w:t>
                          </w:r>
                          <w:r>
                            <w:rPr>
                              <w:lang w:val="uk-UA"/>
                            </w:rPr>
                            <w:t>боти</w:t>
                          </w:r>
                        </w:p>
                      </w:txbxContent>
                    </v:textbox>
                  </v:shape>
                  <v:line id="Line 306" o:spid="_x0000_s1036" style="position:absolute;flip:x;visibility:visible;mso-wrap-style:square" from="5579,1320" to="614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z82sIAAADcAAAADwAAAGRycy9kb3ducmV2LnhtbESPQYvCMBSE7wv+h/AEb2uqiEo1ShEU&#10;ETysiudn82yLzUtpom3/vRGEPQ4z8w2zXLemFC+qXWFZwWgYgSBOrS44U3A5b3/nIJxH1lhaJgUd&#10;OVivej9LjLVt+I9eJ5+JAGEXo4Lc+yqW0qU5GXRDWxEH725rgz7IOpO6xibATSnHUTSVBgsOCzlW&#10;tMkpfZyeRsHxdm2SbnqQya7jWXPp9Hm290oN+m2yAOGp9f/hb3uvFUxGE/icCUd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z82sIAAADcAAAADwAAAAAAAAAAAAAA&#10;AAChAgAAZHJzL2Rvd25yZXYueG1sUEsFBgAAAAAEAAQA+QAAAJADAAAAAA==&#10;">
                    <v:stroke endarrow="classic" endarrowwidth="narrow"/>
                  </v:line>
                  <v:shape id="Text Box 307" o:spid="_x0000_s1037" type="#_x0000_t202" style="position:absolute;left:1091;top:2040;width:1122;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wpcMA&#10;AADcAAAADwAAAGRycy9kb3ducmV2LnhtbESPS4sCMRCE74L/IbTgTROfyKxRRBQ87MUXXptJ78zs&#10;TjrDJOq4v94Igseiqr6i5svGluJGtS8caxj0FQji1JmCMw2n47Y3A+EDssHSMWl4kIflot2aY2Lc&#10;nfd0O4RMRAj7BDXkIVSJlD7NyaLvu4o4ej+uthiirDNparxHuC3lUKmptFhwXMixonVO6d/hajV8&#10;X5p9NnL/v2pjj+exW5/SYqu07naa1ReIQE34hN/tndEwHkz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wpcMAAADcAAAADwAAAAAAAAAAAAAAAACYAgAAZHJzL2Rv&#10;d25yZXYueG1sUEsFBgAAAAAEAAQA9QAAAIgDAAAAAA==&#10;">
                    <v:textbox inset=".5mm,1mm,.5mm,1mm">
                      <w:txbxContent>
                        <w:p w:rsidR="004A36EF" w:rsidRDefault="004A36EF" w:rsidP="004A36EF">
                          <w:pPr>
                            <w:rPr>
                              <w:szCs w:val="26"/>
                            </w:rPr>
                          </w:pPr>
                          <w:r>
                            <w:rPr>
                              <w:szCs w:val="26"/>
                            </w:rPr>
                            <w:t>ВР1.2</w:t>
                          </w:r>
                        </w:p>
                        <w:p w:rsidR="004A36EF" w:rsidRDefault="004A36EF" w:rsidP="004A36EF">
                          <w:pPr>
                            <w:rPr>
                              <w:szCs w:val="26"/>
                            </w:rPr>
                          </w:pPr>
                          <w:r>
                            <w:rPr>
                              <w:szCs w:val="26"/>
                            </w:rPr>
                            <w:t>Кт,Кх,</w:t>
                          </w:r>
                        </w:p>
                        <w:p w:rsidR="004A36EF" w:rsidRDefault="004A36EF" w:rsidP="004A36EF">
                          <w:pPr>
                            <w:rPr>
                              <w:szCs w:val="26"/>
                            </w:rPr>
                          </w:pPr>
                          <w:r>
                            <w:rPr>
                              <w:szCs w:val="26"/>
                            </w:rPr>
                            <w:t>Кмк</w:t>
                          </w:r>
                        </w:p>
                      </w:txbxContent>
                    </v:textbox>
                  </v:shape>
                  <v:shape id="Text Box 308" o:spid="_x0000_s1038" type="#_x0000_t202" style="position:absolute;left:2213;top:2040;width:336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u0sUA&#10;AADcAAAADwAAAGRycy9kb3ducmV2LnhtbESPzWrDMBCE74G8g9hAb4nk1oTiRjEhJNBDL84PvS7W&#10;1nZirYyl2m6fvioUehxm5htmk0+2FQP1vnGsIVkpEMSlMw1XGi7n4/IZhA/IBlvHpOGLPOTb+WyD&#10;mXEjFzScQiUihH2GGuoQukxKX9Zk0a9cRxy9D9dbDFH2lTQ9jhFuW/mo1FpabDgu1NjRvqbyfvq0&#10;Gt7ep6J6ct83dbDna+r2l7I5Kq0fFtPuBUSgKfyH/9qvRkOar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G7SxQAAANwAAAAPAAAAAAAAAAAAAAAAAJgCAABkcnMv&#10;ZG93bnJldi54bWxQSwUGAAAAAAQABAD1AAAAigMAAAAA&#10;">
                    <v:textbox inset=".5mm,1mm,.5mm,1mm">
                      <w:txbxContent>
                        <w:p w:rsidR="004A36EF" w:rsidRDefault="004A36EF" w:rsidP="004A36EF">
                          <w:pPr>
                            <w:jc w:val="center"/>
                          </w:pPr>
                          <w:r>
                            <w:t>Підготовка персоналу та техн</w:t>
                          </w:r>
                          <w:r>
                            <w:t>о</w:t>
                          </w:r>
                          <w:r>
                            <w:t>логічного одягу</w:t>
                          </w:r>
                        </w:p>
                      </w:txbxContent>
                    </v:textbox>
                  </v:shape>
                  <v:line id="Line 309" o:spid="_x0000_s1039" style="position:absolute;flip:x;visibility:visible;mso-wrap-style:square" from="5579,2409" to="6140,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ircQAAADcAAAADwAAAGRycy9kb3ducmV2LnhtbESPzWrDMBCE74W8g9hAbrWcEuLiRgkm&#10;kGACPTQxPW+tjW1irYyl+uftq0Khx2FmvmF2h8m0YqDeNZYVrKMYBHFpdcOVguJ2en4F4TyyxtYy&#10;KZjJwWG/eNphqu3IHzRcfSUChF2KCmrvu1RKV9Zk0EW2Iw7e3fYGfZB9JXWPY4CbVr7E8VYabDgs&#10;1NjRsabycf02Ct6/Psds3l5kdp45GYtZ35LcK7VaTtkbCE+T/w//tXOtYLNO4P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mKtxAAAANwAAAAPAAAAAAAAAAAA&#10;AAAAAKECAABkcnMvZG93bnJldi54bWxQSwUGAAAAAAQABAD5AAAAkgMAAAAA&#10;">
                    <v:stroke endarrow="classic" endarrowwidth="narrow"/>
                  </v:line>
                  <v:line id="Line 310" o:spid="_x0000_s1040" style="position:absolute;visibility:visible;mso-wrap-style:square" from="6140,1319" to="6140,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311" o:spid="_x0000_s1041" style="position:absolute;visibility:visible;mso-wrap-style:square" from="6140,1860" to="6327,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shape id="Text Box 312" o:spid="_x0000_s1042" type="#_x0000_t202" style="position:absolute;left:6327;top:1491;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ZgMAA&#10;AADcAAAADwAAAGRycy9kb3ducmV2LnhtbERPy4rCMBTdC/5DuMLsNPGBSDWKiIKL2agVt5fm2lab&#10;m9JE7czXm4Xg8nDei1VrK/GkxpeONQwHCgRx5kzJuYb0tOvPQPiAbLByTBr+yMNq2e0sMDHuxQd6&#10;HkMuYgj7BDUUIdSJlD4ryKIfuJo4clfXWAwRNrk0Db5iuK3kSKmptFhybCiwpk1B2f34sBp+L+0h&#10;H7v/m9ra03niNmlW7pTWP712PQcRqA1f8ce9Nxomozg/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WZgMAAAADcAAAADwAAAAAAAAAAAAAAAACYAgAAZHJzL2Rvd25y&#10;ZXYueG1sUEsFBgAAAAAEAAQA9QAAAIUDAAAAAA==&#10;">
                    <v:textbox inset=".5mm,1mm,.5mm,1mm">
                      <w:txbxContent>
                        <w:p w:rsidR="004A36EF" w:rsidRDefault="004A36EF" w:rsidP="004A36EF">
                          <w:pPr>
                            <w:rPr>
                              <w:szCs w:val="26"/>
                            </w:rPr>
                          </w:pPr>
                          <w:r>
                            <w:rPr>
                              <w:szCs w:val="26"/>
                            </w:rPr>
                            <w:t>ВР1</w:t>
                          </w:r>
                        </w:p>
                      </w:txbxContent>
                    </v:textbox>
                  </v:shape>
                  <v:shape id="Text Box 313" o:spid="_x0000_s1043" type="#_x0000_t202" style="position:absolute;left:7449;top:1491;width:299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8G8MA&#10;AADcAAAADwAAAGRycy9kb3ducmV2LnhtbESPS6vCMBSE94L/IRzBnSY+EKlGEVFwcTe+cHtojm3v&#10;bU5KE7XXX28EweUwM98w82VjS3Gn2heONQz6CgRx6kzBmYbTcdubgvAB2WDpmDT8k4flot2aY2Lc&#10;g/d0P4RMRAj7BDXkIVSJlD7NyaLvu4o4eldXWwxR1pk0NT4i3JZyqNREWiw4LuRY0Tqn9O9wsxp+&#10;Ls0+G7nnr9rY43ns1qe02Cqtu51mNQMRqAnf8Ke9MxrGwwG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8G8MAAADcAAAADwAAAAAAAAAAAAAAAACYAgAAZHJzL2Rv&#10;d25yZXYueG1sUEsFBgAAAAAEAAQA9QAAAIgDAAAAAA==&#10;">
                    <v:textbox inset=".5mm,1mm,.5mm,1mm">
                      <w:txbxContent>
                        <w:p w:rsidR="004A36EF" w:rsidRDefault="004A36EF" w:rsidP="004A36EF">
                          <w:pPr>
                            <w:jc w:val="center"/>
                            <w:rPr>
                              <w:sz w:val="26"/>
                              <w:szCs w:val="26"/>
                            </w:rPr>
                          </w:pPr>
                          <w:r>
                            <w:t>Санітарна обробка виро</w:t>
                          </w:r>
                          <w:r>
                            <w:t>б</w:t>
                          </w:r>
                          <w:r>
                            <w:t>ництва</w:t>
                          </w:r>
                        </w:p>
                      </w:txbxContent>
                    </v:textbox>
                  </v:shape>
                  <v:shape id="Text Box 314" o:spid="_x0000_s1044" type="#_x0000_t202" style="position:absolute;left:2213;top:3926;width:3366;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ibMMA&#10;AADcAAAADwAAAGRycy9kb3ducmV2LnhtbESPQYvCMBSE7wv+h/AEb2tiFZFqFBEFD3tRK14fzdu2&#10;a/NSmqhdf71ZWPA4zMw3zGLV2VrcqfWVYw2joQJBnDtTcaEhO+0+ZyB8QDZYOyYNv+Rhtex9LDA1&#10;7sEHuh9DISKEfYoayhCaVEqfl2TRD11DHL1v11oMUbaFNC0+ItzWMlFqKi1WHBdKbGhTUn493qyG&#10;r0t3KMbu+aO29nSeuE2WVzul9aDfrecgAnXhHf5v742GSZLA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uibMMAAADcAAAADwAAAAAAAAAAAAAAAACYAgAAZHJzL2Rv&#10;d25yZXYueG1sUEsFBgAAAAAEAAQA9QAAAIgDAAAAAA==&#10;">
                    <v:textbox inset=".5mm,1mm,.5mm,1mm">
                      <w:txbxContent>
                        <w:p w:rsidR="004A36EF" w:rsidRDefault="004A36EF" w:rsidP="004A36EF">
                          <w:pPr>
                            <w:jc w:val="center"/>
                          </w:pPr>
                          <w:r>
                            <w:t>Приготування розчину</w:t>
                          </w:r>
                        </w:p>
                      </w:txbxContent>
                    </v:textbox>
                  </v:shape>
                  <v:shape id="Text Box 315" o:spid="_x0000_s1045" type="#_x0000_t202" style="position:absolute;left:1091;top:3926;width:1122;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H98MA&#10;AADcAAAADwAAAGRycy9kb3ducmV2LnhtbESPS6vCMBSE94L/IRzBnSY+uEg1ioiCCze+cHtojm3v&#10;bU5KE7X6640g3OUwM98ws0VjS3Gn2heONQz6CgRx6kzBmYbTcdObgPAB2WDpmDQ8ycNi3m7NMDHu&#10;wXu6H0ImIoR9ghryEKpESp/mZNH3XUUcvaurLYYo60yaGh8Rbks5VOpHWiw4LuRY0Sqn9O9wsxp2&#10;l2afjdzrV63t8Tx2q1NabJTW3U6znIII1IT/8Le9NRrGwx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cH98MAAADcAAAADwAAAAAAAAAAAAAAAACYAgAAZHJzL2Rv&#10;d25yZXYueG1sUEsFBgAAAAAEAAQA9QAAAIgDAAAAAA==&#10;">
                    <v:textbox inset=".5mm,1mm,.5mm,1mm">
                      <w:txbxContent>
                        <w:p w:rsidR="004A36EF" w:rsidRDefault="004A36EF" w:rsidP="004A36EF">
                          <w:pPr>
                            <w:rPr>
                              <w:szCs w:val="26"/>
                            </w:rPr>
                          </w:pPr>
                          <w:r>
                            <w:rPr>
                              <w:szCs w:val="26"/>
                            </w:rPr>
                            <w:t>ТП2.1</w:t>
                          </w:r>
                        </w:p>
                        <w:p w:rsidR="004A36EF" w:rsidRDefault="004A36EF" w:rsidP="004A36EF">
                          <w:pPr>
                            <w:rPr>
                              <w:szCs w:val="26"/>
                            </w:rPr>
                          </w:pPr>
                          <w:r>
                            <w:rPr>
                              <w:szCs w:val="26"/>
                            </w:rPr>
                            <w:t>Кт, Кх</w:t>
                          </w:r>
                        </w:p>
                      </w:txbxContent>
                    </v:textbox>
                  </v:shape>
                  <v:shape id="Text Box 316" o:spid="_x0000_s1046" type="#_x0000_t202" style="position:absolute;left:2213;top:4914;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fg8MA&#10;AADcAAAADwAAAGRycy9kb3ducmV2LnhtbESPT4vCMBTE78J+h/AWvGmyWkSqUURW2IMX/+H10Tzb&#10;avNSmqxWP70RBI/DzPyGmc5bW4krNb50rOGnr0AQZ86UnGvY71a9MQgfkA1WjknDnTzMZ1+dKabG&#10;3XhD123IRYSwT1FDEUKdSumzgiz6vquJo3dyjcUQZZNL0+Atwm0lB0qNpMWS40KBNS0Lyi7bf6th&#10;fWw3+dA9zurX7g6JW+6zcqW07n63iwmIQG34hN/tP6MhGST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6fg8MAAADcAAAADwAAAAAAAAAAAAAAAACYAgAAZHJzL2Rv&#10;d25yZXYueG1sUEsFBgAAAAAEAAQA9QAAAIgDAAAAAA==&#10;">
                    <v:textbox inset=".5mm,1mm,.5mm,1mm">
                      <w:txbxContent>
                        <w:p w:rsidR="004A36EF" w:rsidRDefault="004A36EF" w:rsidP="004A36EF">
                          <w:pPr>
                            <w:jc w:val="center"/>
                          </w:pPr>
                          <w:r>
                            <w:t>Фільтрація розчину</w:t>
                          </w:r>
                        </w:p>
                      </w:txbxContent>
                    </v:textbox>
                  </v:shape>
                  <v:shape id="Text Box 317" o:spid="_x0000_s1047" type="#_x0000_t202" style="position:absolute;left:2213;top:5843;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GMUA&#10;AADcAAAADwAAAGRycy9kb3ducmV2LnhtbESPT2vCQBTE7wW/w/IEb3XXaEVSN0FChR568R9eH9nX&#10;JG32bchuNe2nd4WCx2FmfsOs88G24kK9bxxrmE0VCOLSmYYrDcfD9nkFwgdkg61j0vBLHvJs9LTG&#10;1Lgr7+iyD5WIEPYpaqhD6FIpfVmTRT91HXH0Pl1vMUTZV9L0eI1w28pEqaW02HBcqLGjoqbye/9j&#10;NXych101d39f6s0eTgtXHMtmq7SejIfNK4hAQ3iE/9vvRsMieYH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joYxQAAANwAAAAPAAAAAAAAAAAAAAAAAJgCAABkcnMv&#10;ZG93bnJldi54bWxQSwUGAAAAAAQABAD1AAAAigMAAAAA&#10;">
                    <v:textbox inset=".5mm,1mm,.5mm,1mm">
                      <w:txbxContent>
                        <w:p w:rsidR="004A36EF" w:rsidRDefault="004A36EF" w:rsidP="004A36EF">
                          <w:pPr>
                            <w:jc w:val="center"/>
                          </w:pPr>
                          <w:r>
                            <w:t>Наповнення пакетів розч</w:t>
                          </w:r>
                          <w:r>
                            <w:t>и</w:t>
                          </w:r>
                          <w:r>
                            <w:t>ном</w:t>
                          </w:r>
                        </w:p>
                      </w:txbxContent>
                    </v:textbox>
                  </v:shape>
                  <v:shape id="Text Box 318" o:spid="_x0000_s1048" type="#_x0000_t202" style="position:absolute;left:2213;top:6761;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b8MA&#10;AADcAAAADwAAAGRycy9kb3ducmV2LnhtbESPS6vCMBSE9xf8D+EI7q6JD0SqUUQUXLjxhdtDc2x7&#10;b3NSmqjVX28EweUwM98w03ljS3Gj2heONfS6CgRx6kzBmYbjYf07BuEDssHSMWl4kIf5rPUzxcS4&#10;O+/otg+ZiBD2CWrIQ6gSKX2ak0XfdRVx9C6uthiirDNparxHuC1lX6mRtFhwXMixomVO6f/+ajVs&#10;z80uG7jnn1rZw2nolse0WCutO+1mMQERqAnf8Ke9MRqG/RG8z8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b8MAAADcAAAADwAAAAAAAAAAAAAAAACYAgAAZHJzL2Rv&#10;d25yZXYueG1sUEsFBgAAAAAEAAQA9QAAAIgDAAAAAA==&#10;">
                    <v:textbox inset=".5mm,1mm,.5mm,1mm">
                      <w:txbxContent>
                        <w:p w:rsidR="004A36EF" w:rsidRDefault="004A36EF" w:rsidP="004A36EF">
                          <w:pPr>
                            <w:jc w:val="center"/>
                          </w:pPr>
                          <w:r>
                            <w:t>Маркування пакетів</w:t>
                          </w:r>
                        </w:p>
                      </w:txbxContent>
                    </v:textbox>
                  </v:shape>
                  <v:shape id="Text Box 319" o:spid="_x0000_s1049" type="#_x0000_t202" style="position:absolute;left:1091;top:4914;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B9MUA&#10;AADcAAAADwAAAGRycy9kb3ducmV2LnhtbESPT2vCQBTE7wW/w/IEb3XXKFVSN0FChR568R9eH9nX&#10;JG32bchuNe2nd4WCx2FmfsOs88G24kK9bxxrmE0VCOLSmYYrDcfD9nkFwgdkg61j0vBLHvJs9LTG&#10;1Lgr7+iyD5WIEPYpaqhD6FIpfVmTRT91HXH0Pl1vMUTZV9L0eI1w28pEqRdpseG4UGNHRU3l9/7H&#10;avg4D7tq7v6+1Js9nBauOJbNVmk9GQ+bVxCBhvAI/7ffjYZFsoT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AH0xQAAANwAAAAPAAAAAAAAAAAAAAAAAJgCAABkcnMv&#10;ZG93bnJldi54bWxQSwUGAAAAAAQABAD1AAAAigMAAAAA&#10;">
                    <v:textbox inset=".5mm,1mm,.5mm,1mm">
                      <w:txbxContent>
                        <w:p w:rsidR="004A36EF" w:rsidRDefault="004A36EF" w:rsidP="004A36EF">
                          <w:pPr>
                            <w:rPr>
                              <w:szCs w:val="26"/>
                            </w:rPr>
                          </w:pPr>
                          <w:r>
                            <w:rPr>
                              <w:szCs w:val="26"/>
                            </w:rPr>
                            <w:t>ТП2.2</w:t>
                          </w:r>
                        </w:p>
                        <w:p w:rsidR="004A36EF" w:rsidRDefault="004A36EF" w:rsidP="004A36EF">
                          <w:pPr>
                            <w:rPr>
                              <w:szCs w:val="26"/>
                            </w:rPr>
                          </w:pPr>
                          <w:r>
                            <w:rPr>
                              <w:szCs w:val="26"/>
                            </w:rPr>
                            <w:t>Кт</w:t>
                          </w:r>
                        </w:p>
                      </w:txbxContent>
                    </v:textbox>
                  </v:shape>
                  <v:shape id="Text Box 320" o:spid="_x0000_s1050" type="#_x0000_t202" style="position:absolute;left:1091;top:5843;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VhsAA&#10;AADcAAAADwAAAGRycy9kb3ducmV2LnhtbERPy4rCMBTdC/5DuMLsNPGBSDWKiIKL2agVt5fm2lab&#10;m9JE7czXm4Xg8nDei1VrK/GkxpeONQwHCgRx5kzJuYb0tOvPQPiAbLByTBr+yMNq2e0sMDHuxQd6&#10;HkMuYgj7BDUUIdSJlD4ryKIfuJo4clfXWAwRNrk0Db5iuK3kSKmptFhybCiwpk1B2f34sBp+L+0h&#10;H7v/m9ra03niNmlW7pTWP712PQcRqA1f8ce9Nxomo7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VhsAAAADcAAAADwAAAAAAAAAAAAAAAACYAgAAZHJzL2Rvd25y&#10;ZXYueG1sUEsFBgAAAAAEAAQA9QAAAIUDAAAAAA==&#10;">
                    <v:textbox inset=".5mm,1mm,.5mm,1mm">
                      <w:txbxContent>
                        <w:p w:rsidR="004A36EF" w:rsidRDefault="004A36EF" w:rsidP="004A36EF">
                          <w:pPr>
                            <w:rPr>
                              <w:szCs w:val="26"/>
                            </w:rPr>
                          </w:pPr>
                          <w:r>
                            <w:rPr>
                              <w:szCs w:val="26"/>
                            </w:rPr>
                            <w:t>ТП2.3</w:t>
                          </w:r>
                        </w:p>
                        <w:p w:rsidR="004A36EF" w:rsidRDefault="004A36EF" w:rsidP="004A36EF">
                          <w:pPr>
                            <w:rPr>
                              <w:szCs w:val="26"/>
                            </w:rPr>
                          </w:pPr>
                          <w:r>
                            <w:rPr>
                              <w:szCs w:val="26"/>
                            </w:rPr>
                            <w:t>Кт</w:t>
                          </w:r>
                        </w:p>
                      </w:txbxContent>
                    </v:textbox>
                  </v:shape>
                  <v:shape id="Text Box 321" o:spid="_x0000_s1051" type="#_x0000_t202" style="position:absolute;left:1091;top:6761;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wHcUA&#10;AADcAAAADwAAAGRycy9kb3ducmV2LnhtbESPT2vCQBTE7wW/w/IEb3XXKEVTN0FChR568R9eH9nX&#10;JG32bchuNe2nd4WCx2FmfsOs88G24kK9bxxrmE0VCOLSmYYrDcfD9nkJwgdkg61j0vBLHvJs9LTG&#10;1Lgr7+iyD5WIEPYpaqhD6FIpfVmTRT91HXH0Pl1vMUTZV9L0eI1w28pEqRdpseG4UGNHRU3l9/7H&#10;avg4D7tq7v6+1Js9nBauOJbNVmk9GQ+bVxCBhvAI/7ffjYZFsoL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zAdxQAAANwAAAAPAAAAAAAAAAAAAAAAAJgCAABkcnMv&#10;ZG93bnJldi54bWxQSwUGAAAAAAQABAD1AAAAigMAAAAA&#10;">
                    <v:textbox inset=".5mm,1mm,.5mm,1mm">
                      <w:txbxContent>
                        <w:p w:rsidR="004A36EF" w:rsidRDefault="004A36EF" w:rsidP="004A36EF">
                          <w:pPr>
                            <w:rPr>
                              <w:szCs w:val="26"/>
                            </w:rPr>
                          </w:pPr>
                          <w:r>
                            <w:rPr>
                              <w:szCs w:val="26"/>
                            </w:rPr>
                            <w:t>ТП2.4</w:t>
                          </w:r>
                        </w:p>
                        <w:p w:rsidR="004A36EF" w:rsidRDefault="004A36EF" w:rsidP="004A36EF">
                          <w:pPr>
                            <w:rPr>
                              <w:szCs w:val="26"/>
                            </w:rPr>
                          </w:pPr>
                          <w:r>
                            <w:rPr>
                              <w:szCs w:val="26"/>
                            </w:rPr>
                            <w:t>Кт</w:t>
                          </w:r>
                        </w:p>
                      </w:txbxContent>
                    </v:textbox>
                  </v:shape>
                  <v:shape id="Text Box 322" o:spid="_x0000_s1052" type="#_x0000_t202" style="position:absolute;left:7636;top:5274;width:280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PXcAA&#10;AADcAAAADwAAAGRycy9kb3ducmV2LnhtbERPy4rCMBTdC/5DuII7TXwgUo0iojALN2rF7aW5ttXm&#10;pjQZrX79ZDHg8nDey3VrK/GkxpeONYyGCgRx5kzJuYb0vB/MQfiAbLByTBre5GG96naWmBj34iM9&#10;TyEXMYR9ghqKEOpESp8VZNEPXU0cuZtrLIYIm1yaBl8x3FZyrNRMWiw5NhRY07ag7HH6tRoO1/aY&#10;T9znrnb2fJm6bZqVe6V1v9duFiACteEr/nf/GA3TSZwfz8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wPXcAAAADcAAAADwAAAAAAAAAAAAAAAACYAgAAZHJzL2Rvd25y&#10;ZXYueG1sUEsFBgAAAAAEAAQA9QAAAIUDAAAAAA==&#10;">
                    <v:textbox inset=".5mm,1mm,.5mm,1mm">
                      <w:txbxContent>
                        <w:p w:rsidR="004A36EF" w:rsidRDefault="004A36EF" w:rsidP="004A36EF">
                          <w:pPr>
                            <w:jc w:val="center"/>
                          </w:pPr>
                          <w:r>
                            <w:t>Приготування розчинів та наповнення пакетів ро</w:t>
                          </w:r>
                          <w:r>
                            <w:t>з</w:t>
                          </w:r>
                          <w:r>
                            <w:t>чином</w:t>
                          </w:r>
                        </w:p>
                      </w:txbxContent>
                    </v:textbox>
                  </v:shape>
                  <v:shape id="Text Box 323" o:spid="_x0000_s1053" type="#_x0000_t202" style="position:absolute;left:6327;top:5274;width:13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qxsMA&#10;AADcAAAADwAAAGRycy9kb3ducmV2LnhtbESPS6vCMBSE94L/IRzBnSY+uEg1ioiCCze+cHtojm3v&#10;bU5KE7X6640g3OUwM98ws0VjS3Gn2heONQz6CgRx6kzBmYbTcdObgPAB2WDpmDQ8ycNi3m7NMDHu&#10;wXu6H0ImIoR9ghryEKpESp/mZNH3XUUcvaurLYYo60yaGh8Rbks5VOpHWiw4LuRY0Sqn9O9wsxp2&#10;l2afjdzrV63t8Tx2q1NabJTW3U6znIII1IT/8Le9NRrGow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qxsMAAADcAAAADwAAAAAAAAAAAAAAAACYAgAAZHJzL2Rv&#10;d25yZXYueG1sUEsFBgAAAAAEAAQA9QAAAIgDAAAAAA==&#10;">
                    <v:textbox inset=".5mm,1mm,.5mm,1mm">
                      <w:txbxContent>
                        <w:p w:rsidR="004A36EF" w:rsidRDefault="004A36EF" w:rsidP="004A36EF">
                          <w:pPr>
                            <w:rPr>
                              <w:szCs w:val="26"/>
                            </w:rPr>
                          </w:pPr>
                          <w:r>
                            <w:rPr>
                              <w:szCs w:val="26"/>
                            </w:rPr>
                            <w:t>ТП2</w:t>
                          </w:r>
                        </w:p>
                      </w:txbxContent>
                    </v:textbox>
                  </v:shape>
                  <v:line id="Line 324" o:spid="_x0000_s1054" style="position:absolute;flip:x;visibility:visible;mso-wrap-style:square" from="5582,4485" to="6143,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ydVcUAAADcAAAADwAAAGRycy9kb3ducmV2LnhtbESPQWuDQBSE74X+h+UVemvW2hCLyUak&#10;0BAKOVRDzq/ui0rdt+Juov77biDQ4zAz3zCbbDKduNLgWssKXhcRCOLK6pZrBcfy8+UdhPPIGjvL&#10;pGAmB9n28WGDqbYjf9O18LUIEHYpKmi871MpXdWQQbewPXHwznYw6IMcaqkHHAPcdDKOopU02HJY&#10;aLCnj4aq3+JiFBx+TmM+r75kvps5GY+zLpO9V+r5acrXIDxN/j98b++1guVbDLcz4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ydVcUAAADcAAAADwAAAAAAAAAA&#10;AAAAAAChAgAAZHJzL2Rvd25yZXYueG1sUEsFBgAAAAAEAAQA+QAAAJMDAAAAAA==&#10;">
                    <v:stroke endarrow="classic" endarrowwidth="narrow"/>
                  </v:line>
                  <v:line id="Line 325" o:spid="_x0000_s1055" style="position:absolute;flip:x;visibility:visible;mso-wrap-style:square" from="5582,5274" to="6143,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4zsMAAADcAAAADwAAAGRycy9kb3ducmV2LnhtbESPQYvCMBSE7wv+h/AEb2uqLirVKEVQ&#10;RPCwKp6fzbMtNi+libb992ZB2OMwM98wy3VrSvGi2hWWFYyGEQji1OqCMwWX8/Z7DsJ5ZI2lZVLQ&#10;kYP1qve1xFjbhn/pdfKZCBB2MSrIva9iKV2ak0E3tBVx8O62NuiDrDOpa2wC3JRyHEVTabDgsJBj&#10;RZuc0sfpaRQcb9cm6aYHmew6njWXTp9ne6/UoN8mCxCeWv8f/rT3WsHPZAJ/Z8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wOM7DAAAA3AAAAA8AAAAAAAAAAAAA&#10;AAAAoQIAAGRycy9kb3ducmV2LnhtbFBLBQYAAAAABAAEAPkAAACRAwAAAAA=&#10;">
                    <v:stroke endarrow="classic" endarrowwidth="narrow"/>
                  </v:line>
                  <v:line id="Line 326" o:spid="_x0000_s1056" style="position:absolute;flip:x;visibility:visible;mso-wrap-style:square" from="5582,6203" to="614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gusUAAADcAAAADwAAAGRycy9kb3ducmV2LnhtbESPzWrDMBCE74G+g9hCb4ncNsTFiWJM&#10;oSUUcogdct5aG9vUWhlL9c/bV4VAjsPMfMPs0sm0YqDeNZYVPK8iEMSl1Q1XCs7Fx/INhPPIGlvL&#10;pGAmB+n+YbHDRNuRTzTkvhIBwi5BBbX3XSKlK2sy6Fa2Iw7e1fYGfZB9JXWPY4CbVr5E0UYabDgs&#10;1NjRe03lT/5rFBy/L2M2b75k9jlzPJ5nXcQHr9TT45RtQXia/D18ax+0gvXrGv7P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mgusUAAADcAAAADwAAAAAAAAAA&#10;AAAAAAChAgAAZHJzL2Rvd25yZXYueG1sUEsFBgAAAAAEAAQA+QAAAJMDAAAAAA==&#10;">
                    <v:stroke endarrow="classic" endarrowwidth="narrow"/>
                  </v:line>
                  <v:line id="Line 327" o:spid="_x0000_s1057" style="position:absolute;flip:x;visibility:visible;mso-wrap-style:square" from="5582,7121" to="6143,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UFIcUAAADcAAAADwAAAGRycy9kb3ducmV2LnhtbESPT2vCQBTE74V+h+UVeqsbbauSukoQ&#10;LKHQgyZ4fmZfk2D2bciu+fPtu4WCx2FmfsNsdqNpRE+dqy0rmM8iEMSF1TWXCvLs8LIG4TyyxsYy&#10;KZjIwW77+LDBWNuBj9SffCkChF2MCirv21hKV1Rk0M1sSxy8H9sZ9EF2pdQdDgFuGrmIoqU0WHNY&#10;qLClfUXF9XQzCr4v5yGZll8y+Zx4NeSTzlapV+r5aUw+QHga/T383061grfXd/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UFIcUAAADcAAAADwAAAAAAAAAA&#10;AAAAAAChAgAAZHJzL2Rvd25yZXYueG1sUEsFBgAAAAAEAAQA+QAAAJMDAAAAAA==&#10;">
                    <v:stroke endarrow="classic" endarrowwidth="narrow"/>
                  </v:line>
                  <v:line id="Line 328" o:spid="_x0000_s1058" style="position:absolute;flip:x;visibility:visible;mso-wrap-style:square" from="6140,5814" to="632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Vd8YAAADcAAAADwAAAGRycy9kb3ducmV2LnhtbESPQWsCMRSE70L/Q3iFXkrNtorY1ShS&#10;KHjwopaV3p6b182ym5dtkur6741Q8DjMzDfMfNnbVpzIh9qxgtdhBoK4dLrmSsHX/vNlCiJEZI2t&#10;Y1JwoQDLxcNgjrl2Z97SaRcrkSAcclRgYuxyKUNpyGIYuo44eT/OW4xJ+kpqj+cEt618y7KJtFhz&#10;WjDY0Yehstn9WQVyunn+9avjuCmaw+HdFGXRfW+UenrsVzMQkfp4D/+311rBeDS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61XfGAAAA3AAAAA8AAAAAAAAA&#10;AAAAAAAAoQIAAGRycy9kb3ducmV2LnhtbFBLBQYAAAAABAAEAPkAAACUAwAAAAA=&#10;"/>
                  <v:line id="Line 329" o:spid="_x0000_s1059" style="position:absolute;visibility:visible;mso-wrap-style:square" from="9693,6354" to="9693,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eD8YAAADcAAAADwAAAGRycy9kb3ducmV2LnhtbESPQWsCMRSE7wX/Q3iCl6JZbbHt1igi&#10;LPQgBbUHe3tsXjdbNy9rkrrbf28KBY/DzHzDLFa9bcSFfKgdK5hOMhDEpdM1Vwo+DsX4GUSIyBob&#10;x6TglwKsloO7Bebadbyjyz5WIkE45KjAxNjmUobSkMUwcS1x8r6ctxiT9JXUHrsEt42cZdlcWqw5&#10;LRhsaWOoPO1/rALvY6hPxctndzx/z4v3Ytvfm1Kp0bBfv4KI1Mdb+L/9phU8PjzB35l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QHg/GAAAA3AAAAA8AAAAAAAAA&#10;AAAAAAAAoQIAAGRycy9kb3ducmV2LnhtbFBLBQYAAAAABAAEAPkAAACUAwAAAAA=&#10;">
                    <v:stroke endarrow="classic" endarrowwidth="narrow"/>
                  </v:line>
                  <v:shape id="Text Box 330" o:spid="_x0000_s1060" type="#_x0000_t202" style="position:absolute;left:9132;top:6912;width:93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DW8AA&#10;AADcAAAADwAAAGRycy9kb3ducmV2LnhtbERPy4rCMBTdC/5DuII7TXwgUo0iojALN2rF7aW5ttXm&#10;pjQZrX79ZDHg8nDey3VrK/GkxpeONYyGCgRx5kzJuYb0vB/MQfiAbLByTBre5GG96naWmBj34iM9&#10;TyEXMYR9ghqKEOpESp8VZNEPXU0cuZtrLIYIm1yaBl8x3FZyrNRMWiw5NhRY07ag7HH6tRoO1/aY&#10;T9znrnb2fJm6bZqVe6V1v9duFiACteEr/nf/GA3TSVwbz8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oDW8AAAADcAAAADwAAAAAAAAAAAAAAAACYAgAAZHJzL2Rvd25y&#10;ZXYueG1sUEsFBgAAAAAEAAQA9QAAAIUDAAAAAA==&#10;">
                    <v:textbox inset=".5mm,1mm,.5mm,1mm">
                      <w:txbxContent>
                        <w:p w:rsidR="004A36EF" w:rsidRDefault="004A36EF" w:rsidP="004A36EF">
                          <w:pPr>
                            <w:jc w:val="center"/>
                          </w:pPr>
                          <w:r>
                            <w:t>Втрати</w:t>
                          </w:r>
                        </w:p>
                      </w:txbxContent>
                    </v:textbox>
                  </v:shape>
                  <v:shape id="Text Box 331" o:spid="_x0000_s1061" type="#_x0000_t202" style="position:absolute;left:1091;top:7689;width:112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mwMQA&#10;AADcAAAADwAAAGRycy9kb3ducmV2LnhtbESPS4sCMRCE74L/IbTgTRMfiM4aRUTBw1584bWZ9M7M&#10;7qQzTKKO++uNIHgsquorar5sbCluVPvCsYZBX4EgTp0pONNwOm57UxA+IBssHZOGB3lYLtqtOSbG&#10;3XlPt0PIRISwT1BDHkKVSOnTnCz6vquIo/fjaoshyjqTpsZ7hNtSDpWaSIsFx4UcK1rnlP4drlbD&#10;96XZZyP3/6s29ngeu/UpLbZK626nWX2BCNSET/jd3hkN49E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psDEAAAA3AAAAA8AAAAAAAAAAAAAAAAAmAIAAGRycy9k&#10;b3ducmV2LnhtbFBLBQYAAAAABAAEAPUAAACJAwAAAAA=&#10;">
                    <v:textbox inset=".5mm,1mm,.5mm,1mm">
                      <w:txbxContent>
                        <w:p w:rsidR="004A36EF" w:rsidRDefault="004A36EF" w:rsidP="004A36EF">
                          <w:pPr>
                            <w:rPr>
                              <w:szCs w:val="26"/>
                            </w:rPr>
                          </w:pPr>
                          <w:r>
                            <w:rPr>
                              <w:szCs w:val="26"/>
                            </w:rPr>
                            <w:t>ТП3.1</w:t>
                          </w:r>
                        </w:p>
                        <w:p w:rsidR="004A36EF" w:rsidRDefault="004A36EF" w:rsidP="004A36EF">
                          <w:pPr>
                            <w:rPr>
                              <w:szCs w:val="26"/>
                            </w:rPr>
                          </w:pPr>
                          <w:r>
                            <w:rPr>
                              <w:szCs w:val="26"/>
                            </w:rPr>
                            <w:t>Кт,Кмк,</w:t>
                          </w:r>
                        </w:p>
                        <w:p w:rsidR="004A36EF" w:rsidRDefault="004A36EF" w:rsidP="004A36EF">
                          <w:pPr>
                            <w:rPr>
                              <w:szCs w:val="26"/>
                            </w:rPr>
                          </w:pPr>
                          <w:r>
                            <w:rPr>
                              <w:szCs w:val="26"/>
                            </w:rPr>
                            <w:t>Кп,</w:t>
                          </w:r>
                        </w:p>
                        <w:p w:rsidR="004A36EF" w:rsidRDefault="004A36EF" w:rsidP="004A36EF">
                          <w:pPr>
                            <w:rPr>
                              <w:szCs w:val="26"/>
                            </w:rPr>
                          </w:pPr>
                          <w:r>
                            <w:rPr>
                              <w:szCs w:val="26"/>
                            </w:rPr>
                            <w:t>Ктокс</w:t>
                          </w:r>
                        </w:p>
                      </w:txbxContent>
                    </v:textbox>
                  </v:shape>
                  <v:shape id="Text Box 332" o:spid="_x0000_s1062" type="#_x0000_t202" style="position:absolute;left:2213;top:7689;width:336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8IMIA&#10;AADcAAAADwAAAGRycy9kb3ducmV2LnhtbERPy2rCQBTdC/7DcIXudEYbiqSZSBGFLrqJD7q9ZK5J&#10;bOZOyIwm7dc7C6HLw3lnm9G24k69bxxrWC4UCOLSmYYrDafjfr4G4QOywdYxafglD5t8OskwNW7g&#10;gu6HUIkYwj5FDXUIXSqlL2uy6BeuI47cxfUWQ4R9JU2PQwy3rVwp9SYtNhwbauxoW1P5c7hZDV/f&#10;Y1G9ur+r2tnjOXHbU9nsldYvs/HjHUSgMfyLn+5PoyFJ4vx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nwgwgAAANwAAAAPAAAAAAAAAAAAAAAAAJgCAABkcnMvZG93&#10;bnJldi54bWxQSwUGAAAAAAQABAD1AAAAhwMAAAAA&#10;">
                    <v:textbox inset=".5mm,1mm,.5mm,1mm">
                      <w:txbxContent>
                        <w:p w:rsidR="004A36EF" w:rsidRDefault="004A36EF" w:rsidP="004A36EF">
                          <w:pPr>
                            <w:jc w:val="center"/>
                          </w:pPr>
                          <w:r>
                            <w:t>Стерилізація пакетів з розч</w:t>
                          </w:r>
                          <w:r>
                            <w:t>и</w:t>
                          </w:r>
                          <w:r>
                            <w:t>ном</w:t>
                          </w:r>
                        </w:p>
                      </w:txbxContent>
                    </v:textbox>
                  </v:shape>
                  <v:shape id="Text Box 333" o:spid="_x0000_s1063" type="#_x0000_t202" style="position:absolute;left:7636;top:7831;width:28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u8MA&#10;AADcAAAADwAAAGRycy9kb3ducmV2LnhtbESPT4vCMBTE74LfITzBmyZqEalGEVHwsBf/4fXRvG27&#10;Ni+lidrdT78RBI/DzPyGWaxaW4kHNb50rGE0VCCIM2dKzjWcT7vBDIQPyAYrx6Thlzyslt3OAlPj&#10;nnygxzHkIkLYp6ihCKFOpfRZQRb90NXE0ft2jcUQZZNL0+Azwm0lx0pNpcWS40KBNW0Kym7Hu9Xw&#10;dW0P+cT9/aitPV0Stzln5U5p3e+16zmIQG34hN/tvdGQJC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Zu8MAAADcAAAADwAAAAAAAAAAAAAAAACYAgAAZHJzL2Rv&#10;d25yZXYueG1sUEsFBgAAAAAEAAQA9QAAAIgDAAAAAA==&#10;">
                    <v:textbox inset=".5mm,1mm,.5mm,1mm">
                      <w:txbxContent>
                        <w:p w:rsidR="004A36EF" w:rsidRDefault="004A36EF" w:rsidP="004A36EF">
                          <w:pPr>
                            <w:jc w:val="center"/>
                          </w:pPr>
                          <w:r>
                            <w:t>Стерилізація пакетів з розчином</w:t>
                          </w:r>
                        </w:p>
                      </w:txbxContent>
                    </v:textbox>
                  </v:shape>
                  <v:shape id="Text Box 334" o:spid="_x0000_s1064" type="#_x0000_t202" style="position:absolute;left:6327;top:7831;width:130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HzMMA&#10;AADcAAAADwAAAGRycy9kb3ducmV2LnhtbESPT4vCMBTE78J+h/AWvGmyWkSqUURW2IMX/+H10Tzb&#10;avNSmqxWP70RBI/DzPyGmc5bW4krNb50rOGnr0AQZ86UnGvY71a9MQgfkA1WjknDnTzMZ1+dKabG&#10;3XhD123IRYSwT1FDEUKdSumzgiz6vquJo3dyjcUQZZNL0+Atwm0lB0qNpMWS40KBNS0Lyi7bf6th&#10;fWw3+dA9zurX7g6JW+6zcqW07n63iwmIQG34hN/tP6MhSQ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HzMMAAADcAAAADwAAAAAAAAAAAAAAAACYAgAAZHJzL2Rv&#10;d25yZXYueG1sUEsFBgAAAAAEAAQA9QAAAIgDAAAAAA==&#10;">
                    <v:textbox inset=".5mm,1mm,.5mm,1mm">
                      <w:txbxContent>
                        <w:p w:rsidR="004A36EF" w:rsidRDefault="004A36EF" w:rsidP="004A36EF">
                          <w:pPr>
                            <w:rPr>
                              <w:szCs w:val="26"/>
                            </w:rPr>
                          </w:pPr>
                          <w:r>
                            <w:rPr>
                              <w:szCs w:val="26"/>
                            </w:rPr>
                            <w:t>ТП3</w:t>
                          </w:r>
                        </w:p>
                      </w:txbxContent>
                    </v:textbox>
                  </v:shape>
                  <v:line id="Line 335" o:spid="_x0000_s1065" style="position:absolute;visibility:visible;mso-wrap-style:square" from="8571,6354" to="857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rccYAAADcAAAADwAAAGRycy9kb3ducmV2LnhtbESPQWsCMRSE7wX/Q3iCl6JZrUi7GkWE&#10;hR5Koeqh3h6b183q5mVNUnf775tCweMwM98wq01vG3EjH2rHCqaTDARx6XTNlYLjoRg/gwgRWWPj&#10;mBT8UIDNevCwwly7jj/oto+VSBAOOSowMba5lKE0ZDFMXEucvC/nLcYkfSW1xy7BbSNnWbaQFmtO&#10;CwZb2hkqL/tvq8D7GOpL8XLqPq/nRfFevPWPplRqNOy3SxCR+ngP/7dftYL5/A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a3HGAAAA3AAAAA8AAAAAAAAA&#10;AAAAAAAAoQIAAGRycy9kb3ducmV2LnhtbFBLBQYAAAAABAAEAPkAAACUAwAAAAA=&#10;">
                    <v:stroke endarrow="classic" endarrowwidth="narrow"/>
                  </v:line>
                  <v:shape id="Text Box 336" o:spid="_x0000_s1066" type="#_x0000_t202" style="position:absolute;left:9132;top:9125;width:93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6I8UA&#10;AADcAAAADwAAAGRycy9kb3ducmV2LnhtbESPzWrDMBCE74G8g9hAb4mU1JTgRgnBxNBDLvkj18Xa&#10;2m6tlbFU2+nTV4VCj8PMfMNsdqNtRE+drx1rWC4UCOLCmZpLDddLPl+D8AHZYOOYNDzIw247nWww&#10;NW7gE/XnUIoIYZ+ihiqENpXSFxVZ9AvXEkfv3XUWQ5RdKU2HQ4TbRq6UepEWa44LFbaUVVR8nr+s&#10;huN9PJXP7vtDHezllrjsWtS50vppNu5fQQQaw3/4r/1mNCRJ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XojxQAAANwAAAAPAAAAAAAAAAAAAAAAAJgCAABkcnMv&#10;ZG93bnJldi54bWxQSwUGAAAAAAQABAD1AAAAigMAAAAA&#10;">
                    <v:textbox inset=".5mm,1mm,.5mm,1mm">
                      <w:txbxContent>
                        <w:p w:rsidR="004A36EF" w:rsidRDefault="004A36EF" w:rsidP="004A36EF">
                          <w:pPr>
                            <w:rPr>
                              <w:sz w:val="26"/>
                              <w:szCs w:val="26"/>
                            </w:rPr>
                          </w:pPr>
                          <w:r>
                            <w:t>Втрати</w:t>
                          </w:r>
                        </w:p>
                      </w:txbxContent>
                    </v:textbox>
                  </v:shape>
                  <v:line id="Line 337" o:spid="_x0000_s1067" style="position:absolute;visibility:visible;mso-wrap-style:square" from="9693,8551" to="9693,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WnsYAAADcAAAADwAAAGRycy9kb3ducmV2LnhtbESPQWsCMRSE7wX/Q3iCl6JZxUq7GkWE&#10;hR5Koeqh3h6b183q5mVNUnf775tCweMwM98wq01vG3EjH2rHCqaTDARx6XTNlYLjoRg/gwgRWWPj&#10;mBT8UIDNevCwwly7jj/oto+VSBAOOSowMba5lKE0ZDFMXEucvC/nLcYkfSW1xy7BbSNnWbaQFmtO&#10;CwZb2hkqL/tvq8D7GOpL8XLqPq/nRfFevPWPplRqNOy3SxCR+ngP/7dftYL5/A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IVp7GAAAA3AAAAA8AAAAAAAAA&#10;AAAAAAAAoQIAAGRycy9kb3ducmV2LnhtbFBLBQYAAAAABAAEAPkAAACUAwAAAAA=&#10;">
                    <v:stroke endarrow="classic" endarrowwidth="narrow"/>
                  </v:line>
                  <v:shape id="Text Box 338" o:spid="_x0000_s1068" type="#_x0000_t202" style="position:absolute;left:7636;top:10314;width:280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Bz8UA&#10;AADcAAAADwAAAGRycy9kb3ducmV2LnhtbESPzWrDMBCE74W8g9hAb42U1pjgRAkhJNBDL/4JuS7W&#10;1nZjrYylJm6fvioUehxm5htms5tsL240+s6xhuVCgSCunem40VCVp6cVCB+QDfaOScMXedhtZw8b&#10;zIy7c063IjQiQthnqKENYcik9HVLFv3CDcTRe3ejxRDl2Egz4j3CbS+flUqlxY7jQosDHVqqr8Wn&#10;1fB2mfLmxX1/qKMtz4k7VHV3Ulo/zqf9GkSgKfyH/9qvRkOSpP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0HPxQAAANwAAAAPAAAAAAAAAAAAAAAAAJgCAABkcnMv&#10;ZG93bnJldi54bWxQSwUGAAAAAAQABAD1AAAAigMAAAAA&#10;">
                    <v:textbox inset=".5mm,1mm,.5mm,1mm">
                      <w:txbxContent>
                        <w:p w:rsidR="004A36EF" w:rsidRDefault="004A36EF" w:rsidP="004A36EF">
                          <w:pPr>
                            <w:jc w:val="center"/>
                          </w:pPr>
                          <w:r>
                            <w:t>Упаковка та відвантаже</w:t>
                          </w:r>
                          <w:r>
                            <w:t>н</w:t>
                          </w:r>
                          <w:r>
                            <w:t>ня готового</w:t>
                          </w:r>
                        </w:p>
                        <w:p w:rsidR="004A36EF" w:rsidRDefault="004A36EF" w:rsidP="004A36EF">
                          <w:pPr>
                            <w:jc w:val="center"/>
                          </w:pPr>
                          <w:r>
                            <w:t>проду</w:t>
                          </w:r>
                          <w:r>
                            <w:t>к</w:t>
                          </w:r>
                          <w:r>
                            <w:t>ту</w:t>
                          </w:r>
                        </w:p>
                      </w:txbxContent>
                    </v:textbox>
                  </v:shape>
                  <v:shape id="Text Box 339" o:spid="_x0000_s1069" type="#_x0000_t202" style="position:absolute;left:1091;top:11574;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kVMUA&#10;AADcAAAADwAAAGRycy9kb3ducmV2LnhtbESPQWvCQBSE74X+h+UVequ72lAluopIAz14MVG8PrKv&#10;SWr2bchuY+qv7xYKHoeZ+YZZbUbbioF63zjWMJ0oEMSlMw1XGo5F9rIA4QOywdYxafghD5v148MK&#10;U+OufKAhD5WIEPYpaqhD6FIpfVmTRT9xHXH0Pl1vMUTZV9L0eI1w28qZUm/SYsNxocaOdjWVl/zb&#10;atifx0P16m5f6t0Wp8TtjmWTKa2fn8btEkSgMdzD/+0PoyFJ5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RUxQAAANwAAAAPAAAAAAAAAAAAAAAAAJgCAABkcnMv&#10;ZG93bnJldi54bWxQSwUGAAAAAAQABAD1AAAAigMAAAAA&#10;">
                    <v:textbox inset=".5mm,1mm,.5mm,1mm">
                      <w:txbxContent>
                        <w:p w:rsidR="004A36EF" w:rsidRDefault="004A36EF" w:rsidP="004A36EF">
                          <w:pPr>
                            <w:rPr>
                              <w:szCs w:val="26"/>
                            </w:rPr>
                          </w:pPr>
                          <w:r>
                            <w:rPr>
                              <w:szCs w:val="26"/>
                            </w:rPr>
                            <w:t>ПМВ4.3</w:t>
                          </w:r>
                        </w:p>
                        <w:p w:rsidR="004A36EF" w:rsidRDefault="004A36EF" w:rsidP="004A36EF">
                          <w:pPr>
                            <w:rPr>
                              <w:szCs w:val="26"/>
                            </w:rPr>
                          </w:pPr>
                          <w:r>
                            <w:rPr>
                              <w:szCs w:val="26"/>
                            </w:rPr>
                            <w:t>Кт</w:t>
                          </w:r>
                        </w:p>
                      </w:txbxContent>
                    </v:textbox>
                  </v:shape>
                  <v:shape id="Text Box 340" o:spid="_x0000_s1070" type="#_x0000_t202" style="position:absolute;left:2213;top:11574;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wJsIA&#10;AADcAAAADwAAAGRycy9kb3ducmV2LnhtbERPy2rCQBTdC/7DcIXudEYbiqSZSBGFLrqJD7q9ZK5J&#10;bOZOyIwm7dc7C6HLw3lnm9G24k69bxxrWC4UCOLSmYYrDafjfr4G4QOywdYxafglD5t8OskwNW7g&#10;gu6HUIkYwj5FDXUIXSqlL2uy6BeuI47cxfUWQ4R9JU2PQwy3rVwp9SYtNhwbauxoW1P5c7hZDV/f&#10;Y1G9ur+r2tnjOXHbU9nsldYvs/HjHUSgMfyLn+5PoyFJ4tp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AmwgAAANwAAAAPAAAAAAAAAAAAAAAAAJgCAABkcnMvZG93&#10;bnJldi54bWxQSwUGAAAAAAQABAD1AAAAhwMAAAAA&#10;">
                    <v:textbox inset=".5mm,1mm,.5mm,1mm">
                      <w:txbxContent>
                        <w:p w:rsidR="004A36EF" w:rsidRDefault="004A36EF" w:rsidP="004A36EF">
                          <w:pPr>
                            <w:jc w:val="center"/>
                          </w:pPr>
                          <w:r>
                            <w:t>Упаковка у групову тару</w:t>
                          </w:r>
                        </w:p>
                      </w:txbxContent>
                    </v:textbox>
                  </v:shape>
                  <v:shape id="Text Box 341" o:spid="_x0000_s1071" type="#_x0000_t202" style="position:absolute;left:2213;top:10494;width:336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VvcUA&#10;AADcAAAADwAAAGRycy9kb3ducmV2LnhtbESPQWvCQBSE74X+h+UVequ72lA0uopIAz14MVG8PrKv&#10;SWr2bchuY+qv7xYKHoeZ+YZZbUbbioF63zjWMJ0oEMSlMw1XGo5F9jIH4QOywdYxafghD5v148MK&#10;U+OufKAhD5WIEPYpaqhD6FIpfVmTRT9xHXH0Pl1vMUTZV9L0eI1w28qZUm/SYsNxocaOdjWVl/zb&#10;atifx0P16m5f6t0Wp8TtjmWTKa2fn8btEkSgMdzD/+0PoyFJ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NW9xQAAANwAAAAPAAAAAAAAAAAAAAAAAJgCAABkcnMv&#10;ZG93bnJldi54bWxQSwUGAAAAAAQABAD1AAAAigMAAAAA&#10;">
                    <v:textbox inset=".5mm,1mm,.5mm,1mm">
                      <w:txbxContent>
                        <w:p w:rsidR="004A36EF" w:rsidRDefault="004A36EF" w:rsidP="004A36EF">
                          <w:pPr>
                            <w:jc w:val="center"/>
                          </w:pPr>
                          <w:r>
                            <w:t>Упаковка пакетів у вторинну упаковку</w:t>
                          </w:r>
                        </w:p>
                      </w:txbxContent>
                    </v:textbox>
                  </v:shape>
                  <v:shape id="Text Box 342" o:spid="_x0000_s1072" type="#_x0000_t202" style="position:absolute;left:1091;top:10494;width:112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q/cEA&#10;AADcAAAADwAAAGRycy9kb3ducmV2LnhtbERPy4rCMBTdD/gP4QqzGxMdFammRWSEWbjxhdtLc22r&#10;zU1pMtrx681CcHk470XW2VrcqPWVYw3DgQJBnDtTcaHhsF9/zUD4gGywdkwa/slDlvY+FpgYd+ct&#10;3XahEDGEfYIayhCaREqfl2TRD1xDHLmzay2GCNtCmhbvMdzWcqTUVFqsODaU2NCqpPy6+7MaNqdu&#10;W3y7x0X92P1x7FaHvForrT/73XIOIlAX3uKX+9doGE/i/HgmHg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T6v3BAAAA3AAAAA8AAAAAAAAAAAAAAAAAmAIAAGRycy9kb3du&#10;cmV2LnhtbFBLBQYAAAAABAAEAPUAAACGAwAAAAA=&#10;">
                    <v:textbox inset=".5mm,1mm,.5mm,1mm">
                      <w:txbxContent>
                        <w:p w:rsidR="004A36EF" w:rsidRDefault="004A36EF" w:rsidP="004A36EF">
                          <w:pPr>
                            <w:rPr>
                              <w:szCs w:val="26"/>
                            </w:rPr>
                          </w:pPr>
                          <w:r>
                            <w:rPr>
                              <w:sz w:val="26"/>
                              <w:szCs w:val="26"/>
                            </w:rPr>
                            <w:t>П</w:t>
                          </w:r>
                          <w:r>
                            <w:rPr>
                              <w:szCs w:val="26"/>
                            </w:rPr>
                            <w:t>МВ4.2</w:t>
                          </w:r>
                        </w:p>
                        <w:p w:rsidR="004A36EF" w:rsidRDefault="004A36EF" w:rsidP="004A36EF">
                          <w:pPr>
                            <w:rPr>
                              <w:szCs w:val="26"/>
                            </w:rPr>
                          </w:pPr>
                          <w:r>
                            <w:rPr>
                              <w:szCs w:val="26"/>
                            </w:rPr>
                            <w:t>Кт,Кх</w:t>
                          </w:r>
                        </w:p>
                      </w:txbxContent>
                    </v:textbox>
                  </v:shape>
                  <v:shape id="Text Box 343" o:spid="_x0000_s1073" type="#_x0000_t202" style="position:absolute;left:1091;top:9414;width:112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PZsMA&#10;AADcAAAADwAAAGRycy9kb3ducmV2LnhtbESPS4sCMRCE74L/IbTgTROfyKxRRBQ87MUXXptJ78zs&#10;TjrDJOq4v94Igseiqr6i5svGluJGtS8caxj0FQji1JmCMw2n47Y3A+EDssHSMWl4kIflot2aY2Lc&#10;nfd0O4RMRAj7BDXkIVSJlD7NyaLvu4o4ej+uthiirDNparxHuC3lUKmptFhwXMixonVO6d/hajV8&#10;X5p9NnL/v2pjj+exW5/SYqu07naa1ReIQE34hN/tndEwngz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9PZsMAAADcAAAADwAAAAAAAAAAAAAAAACYAgAAZHJzL2Rv&#10;d25yZXYueG1sUEsFBgAAAAAEAAQA9QAAAIgDAAAAAA==&#10;">
                    <v:textbox inset=".5mm,1mm,.5mm,1mm">
                      <w:txbxContent>
                        <w:p w:rsidR="004A36EF" w:rsidRDefault="004A36EF" w:rsidP="004A36EF">
                          <w:pPr>
                            <w:rPr>
                              <w:szCs w:val="26"/>
                            </w:rPr>
                          </w:pPr>
                          <w:r>
                            <w:rPr>
                              <w:szCs w:val="26"/>
                            </w:rPr>
                            <w:t>ПМВ4.1</w:t>
                          </w:r>
                        </w:p>
                        <w:p w:rsidR="004A36EF" w:rsidRDefault="004A36EF" w:rsidP="004A36EF">
                          <w:pPr>
                            <w:rPr>
                              <w:szCs w:val="26"/>
                            </w:rPr>
                          </w:pPr>
                          <w:r>
                            <w:rPr>
                              <w:szCs w:val="26"/>
                            </w:rPr>
                            <w:t>Кт</w:t>
                          </w:r>
                        </w:p>
                      </w:txbxContent>
                    </v:textbox>
                  </v:shape>
                  <v:shape id="Text Box 344" o:spid="_x0000_s1074" type="#_x0000_t202" style="position:absolute;left:2213;top:9414;width:336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REcUA&#10;AADcAAAADwAAAGRycy9kb3ducmV2LnhtbESPT2vCQBTE7wW/w/IEb3XXaEVSN0FChR568R9eH9nX&#10;JG32bchuNe2nd4WCx2FmfsOs88G24kK9bxxrmE0VCOLSmYYrDcfD9nkFwgdkg61j0vBLHvJs9LTG&#10;1Lgr7+iyD5WIEPYpaqhD6FIpfVmTRT91HXH0Pl1vMUTZV9L0eI1w28pEqaW02HBcqLGjoqbye/9j&#10;NXych101d39f6s0eTgtXHMtmq7SejIfNK4hAQ3iE/9vvRsPiJYH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dERxQAAANwAAAAPAAAAAAAAAAAAAAAAAJgCAABkcnMv&#10;ZG93bnJldi54bWxQSwUGAAAAAAQABAD1AAAAigMAAAAA&#10;">
                    <v:textbox inset=".5mm,1mm,.5mm,1mm">
                      <w:txbxContent>
                        <w:p w:rsidR="004A36EF" w:rsidRDefault="004A36EF" w:rsidP="004A36EF">
                          <w:pPr>
                            <w:jc w:val="center"/>
                          </w:pPr>
                          <w:r>
                            <w:t>Контроль на механічні домішки та інші види браку</w:t>
                          </w:r>
                        </w:p>
                      </w:txbxContent>
                    </v:textbox>
                  </v:shape>
                  <v:line id="Line 345" o:spid="_x0000_s1075" style="position:absolute;flip:x;visibility:visible;mso-wrap-style:square" from="5582,9808" to="6143,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bsUAAADcAAAADwAAAGRycy9kb3ducmV2LnhtbESPT2vCQBTE74V+h+UVeqsbbauSukoQ&#10;LKHQgyZ4fmZfk2D2bciu+fPtu4WCx2FmfsNsdqNpRE+dqy0rmM8iEMSF1TWXCvLs8LIG4TyyxsYy&#10;KZjIwW77+LDBWNuBj9SffCkChF2MCirv21hKV1Rk0M1sSxy8H9sZ9EF2pdQdDgFuGrmIoqU0WHNY&#10;qLClfUXF9XQzCr4v5yGZll8y+Zx4NeSTzlapV+r5aUw+QHga/T383061grf3V/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bsUAAADcAAAADwAAAAAAAAAA&#10;AAAAAAChAgAAZHJzL2Rvd25yZXYueG1sUEsFBgAAAAAEAAQA+QAAAJMDAAAAAA==&#10;">
                    <v:stroke endarrow="classic" endarrowwidth="narrow"/>
                  </v:line>
                  <v:line id="Line 346" o:spid="_x0000_s1076" style="position:absolute;flip:x;visibility:visible;mso-wrap-style:square" from="5582,11968" to="6143,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FGsMAAADcAAAADwAAAGRycy9kb3ducmV2LnhtbESPQYvCMBSE7wv+h/AEb2uquCrVKEVQ&#10;RPCwKp6fzbMtNi+libb992ZB2OMwM98wy3VrSvGi2hWWFYyGEQji1OqCMwWX8/Z7DsJ5ZI2lZVLQ&#10;kYP1qve1xFjbhn/pdfKZCBB2MSrIva9iKV2ak0E3tBVx8O62NuiDrDOpa2wC3JRyHEVTabDgsJBj&#10;RZuc0sfpaRQcb9cm6aYHmew6njWXTp9ne6/UoN8mCxCeWv8f/rT3WsHkZwJ/Z8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RRrDAAAA3AAAAA8AAAAAAAAAAAAA&#10;AAAAoQIAAGRycy9kb3ducmV2LnhtbFBLBQYAAAAABAAEAPkAAACRAwAAAAA=&#10;">
                    <v:stroke endarrow="classic" endarrowwidth="narrow"/>
                  </v:line>
                  <v:line id="Line 347" o:spid="_x0000_s1077" style="position:absolute;flip:x;visibility:visible;mso-wrap-style:square" from="5582,10885" to="6143,1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ggcUAAADcAAAADwAAAGRycy9kb3ducmV2LnhtbESPzWrDMBCE74G+g9hCb4nc0sTFiWJM&#10;oSUUcogdct5aG9vUWhlL9c/bV4VAjsPMfMPs0sm0YqDeNZYVPK8iEMSl1Q1XCs7Fx/INhPPIGlvL&#10;pGAmB+n+YbHDRNuRTzTkvhIBwi5BBbX3XSKlK2sy6Fa2Iw7e1fYGfZB9JXWPY4CbVr5E0UYabDgs&#10;1NjRe03lT/5rFBy/L2M2b75k9jlzPJ5nXcQHr9TT45RtQXia/D18ax+0gtf1Gv7Ph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rggcUAAADcAAAADwAAAAAAAAAA&#10;AAAAAAChAgAAZHJzL2Rvd25yZXYueG1sUEsFBgAAAAAEAAQA+QAAAJMDAAAAAA==&#10;">
                    <v:stroke endarrow="classic" endarrowwidth="narrow"/>
                  </v:line>
                  <v:line id="Line 348" o:spid="_x0000_s1078" style="position:absolute;visibility:visible;mso-wrap-style:square" from="6140,9808" to="614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shape id="Text Box 349" o:spid="_x0000_s1079" type="#_x0000_t202" style="position:absolute;left:6327;top:10314;width:13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yicUA&#10;AADcAAAADwAAAGRycy9kb3ducmV2LnhtbESPS4sCMRCE78L+h9AL3jRZH6vMGkVEwYMXH4vXZtLO&#10;zO6kM0yijv56Iwgei6r6iprMGluKC9W+cKzhq6tAEKfOFJxpOOxXnTEIH5ANlo5Jw408zKYfrQkm&#10;xl15S5ddyESEsE9QQx5ClUjp05ws+q6riKN3crXFEGWdSVPjNcJtKXtKfUuLBceFHCta5JT+785W&#10;w+bYbLO+u/+ppd3/DtzikBYrpXX7s5n/gAjUhHf41V4bDYPhC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nKJxQAAANwAAAAPAAAAAAAAAAAAAAAAAJgCAABkcnMv&#10;ZG93bnJldi54bWxQSwUGAAAAAAQABAD1AAAAigMAAAAA&#10;">
                    <v:textbox inset=".5mm,1mm,.5mm,1mm">
                      <w:txbxContent>
                        <w:p w:rsidR="004A36EF" w:rsidRDefault="004A36EF" w:rsidP="004A36EF">
                          <w:pPr>
                            <w:rPr>
                              <w:szCs w:val="26"/>
                            </w:rPr>
                          </w:pPr>
                          <w:r>
                            <w:rPr>
                              <w:szCs w:val="26"/>
                            </w:rPr>
                            <w:t>ПМВ4</w:t>
                          </w:r>
                        </w:p>
                      </w:txbxContent>
                    </v:textbox>
                  </v:shape>
                  <v:line id="Line 350" o:spid="_x0000_s1080" style="position:absolute;visibility:visible;mso-wrap-style:square" from="6140,10888" to="6327,1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shape id="Text Box 351" o:spid="_x0000_s1081" type="#_x0000_t202" style="position:absolute;left:8945;top:11760;width:103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DYMUA&#10;AADcAAAADwAAAGRycy9kb3ducmV2LnhtbESPS4sCMRCE78L+h9AL3jRZH4vOGkVEwYMXH4vXZtLO&#10;zO6kM0yijv56Iwgei6r6iprMGluKC9W+cKzhq6tAEKfOFJxpOOxXnREIH5ANlo5Jw408zKYfrQkm&#10;xl15S5ddyESEsE9QQx5ClUjp05ws+q6riKN3crXFEGWdSVPjNcJtKXtKfUuLBceFHCta5JT+785W&#10;w+bYbLO+u/+ppd3/DtzikBYrpXX7s5n/gAjUhHf41V4bDYPhG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UNgxQAAANwAAAAPAAAAAAAAAAAAAAAAAJgCAABkcnMv&#10;ZG93bnJldi54bWxQSwUGAAAAAAQABAD1AAAAigMAAAAA&#10;">
                    <v:textbox inset=".5mm,1mm,.5mm,1mm">
                      <w:txbxContent>
                        <w:p w:rsidR="004A36EF" w:rsidRDefault="004A36EF" w:rsidP="004A36EF">
                          <w:pPr>
                            <w:jc w:val="center"/>
                          </w:pPr>
                          <w:r>
                            <w:t>Відходи</w:t>
                          </w:r>
                        </w:p>
                      </w:txbxContent>
                    </v:textbox>
                  </v:shape>
                  <v:line id="Line 352" o:spid="_x0000_s1082" style="position:absolute;visibility:visible;mso-wrap-style:square" from="7823,12633" to="10441,1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pZsMAAADcAAAADwAAAGRycy9kb3ducmV2LnhtbERPu2rDMBTdA/0HcQtdQi2nBNO6UUIJ&#10;GDqEQB5Du12sW8uNdeVKauz8fTQEMh7Oe7EabSfO5EPrWMEsy0EQ10633Cg4HqrnVxAhImvsHJOC&#10;CwVYLR8mCyy1G3hH531sRArhUKICE2NfShlqQxZD5nrixP04bzEm6BupPQ4p3HbyJc8LabHl1GCw&#10;p7Wh+rT/twq8j6E9VW/fw9ffb1Ftq804NbVST4/jxzuISGO8i2/uT61gXqT5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KqWbDAAAA3AAAAA8AAAAAAAAAAAAA&#10;AAAAoQIAAGRycy9kb3ducmV2LnhtbFBLBQYAAAAABAAEAPkAAACRAwAAAAA=&#10;">
                    <v:stroke endarrow="classic" endarrowwidth="narrow"/>
                  </v:line>
                  <v:shape id="Text Box 353" o:spid="_x0000_s1083" type="#_x0000_t202" style="position:absolute;left:1091;top:12834;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F28UA&#10;AADcAAAADwAAAGRycy9kb3ducmV2LnhtbESPzWrDMBCE74G8g9hAb4nk1oTiRjEhJNBDL84PvS7W&#10;1nZirYyl2m6fvioUehxm5htmk0+2FQP1vnGsIVkpEMSlMw1XGi7n4/IZhA/IBlvHpOGLPOTb+WyD&#10;mXEjFzScQiUihH2GGuoQukxKX9Zk0a9cRxy9D9dbDFH2lTQ9jhFuW/mo1FpabDgu1NjRvqbyfvq0&#10;Gt7ep6J6ct83dbDna+r2l7I5Kq0fFtPuBUSgKfyH/9qvRkO6T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XbxQAAANwAAAAPAAAAAAAAAAAAAAAAAJgCAABkcnMv&#10;ZG93bnJldi54bWxQSwUGAAAAAAQABAD1AAAAigMAAAAA&#10;">
                    <v:textbox inset=".5mm,1mm,.5mm,1mm">
                      <w:txbxContent>
                        <w:p w:rsidR="004A36EF" w:rsidRDefault="004A36EF" w:rsidP="004A36EF">
                          <w:pPr>
                            <w:rPr>
                              <w:szCs w:val="26"/>
                            </w:rPr>
                          </w:pPr>
                          <w:r>
                            <w:rPr>
                              <w:szCs w:val="26"/>
                            </w:rPr>
                            <w:t>ПВ5.1</w:t>
                          </w:r>
                        </w:p>
                      </w:txbxContent>
                    </v:textbox>
                  </v:shape>
                  <v:shape id="Text Box 354" o:spid="_x0000_s1084" type="#_x0000_t202" style="position:absolute;left:2213;top:12834;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brMMA&#10;AADcAAAADwAAAGRycy9kb3ducmV2LnhtbESPS6vCMBSE9xf8D+EI7q6JD0SqUUQUXLjxhdtDc2x7&#10;b3NSmqjVX28EweUwM98w03ljS3Gj2heONfS6CgRx6kzBmYbjYf07BuEDssHSMWl4kIf5rPUzxcS4&#10;O+/otg+ZiBD2CWrIQ6gSKX2ak0XfdRVx9C6uthiirDNparxHuC1lX6mRtFhwXMixomVO6f/+ajVs&#10;z80uG7jnn1rZw2nolse0WCutO+1mMQERqAnf8Ke9MRqGoz68z8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brMMAAADcAAAADwAAAAAAAAAAAAAAAACYAgAAZHJzL2Rv&#10;d25yZXYueG1sUEsFBgAAAAAEAAQA9QAAAIgDAAAAAA==&#10;">
                    <v:textbox inset=".5mm,1mm,.5mm,1mm">
                      <w:txbxContent>
                        <w:p w:rsidR="004A36EF" w:rsidRDefault="004A36EF" w:rsidP="004A36EF">
                          <w:pPr>
                            <w:jc w:val="center"/>
                          </w:pPr>
                          <w:r>
                            <w:t>Регенерація розчину</w:t>
                          </w:r>
                        </w:p>
                      </w:txbxContent>
                    </v:textbox>
                  </v:shape>
                  <v:shape id="Text Box 355" o:spid="_x0000_s1085" type="#_x0000_t202" style="position:absolute;left:7636;top:12813;width:26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8MA&#10;AADcAAAADwAAAGRycy9kb3ducmV2LnhtbESPS6vCMBSE94L/IRzBnSY+EKlGEVFwcTe+cHtojm3v&#10;bU5KE7XeX28EweUwM98w82VjS3Gn2heONQz6CgRx6kzBmYbTcdubgvAB2WDpmDQ8ycNy0W7NMTHu&#10;wXu6H0ImIoR9ghryEKpESp/mZNH3XUUcvaurLYYo60yaGh8Rbks5VGoiLRYcF3KsaJ1T+ne4WQ0/&#10;l2afjdz/r9rY43ns1qe02Cqtu51mNQMRqAnf8Ke9MxrGkxG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8MAAADcAAAADwAAAAAAAAAAAAAAAACYAgAAZHJzL2Rv&#10;d25yZXYueG1sUEsFBgAAAAAEAAQA9QAAAIgDAAAAAA==&#10;">
                    <v:textbox inset=".5mm,1mm,.5mm,1mm">
                      <w:txbxContent>
                        <w:p w:rsidR="004A36EF" w:rsidRDefault="004A36EF" w:rsidP="004A36EF">
                          <w:pPr>
                            <w:jc w:val="center"/>
                          </w:pPr>
                          <w:r>
                            <w:t>Переробка використ</w:t>
                          </w:r>
                          <w:r>
                            <w:t>а</w:t>
                          </w:r>
                          <w:r>
                            <w:t>них відходів</w:t>
                          </w:r>
                        </w:p>
                      </w:txbxContent>
                    </v:textbox>
                  </v:shape>
                  <v:shape id="Text Box 356" o:spid="_x0000_s1086" type="#_x0000_t202" style="position:absolute;left:6327;top:12813;width:130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mQ8UA&#10;AADcAAAADwAAAGRycy9kb3ducmV2LnhtbESPzWrDMBCE74W8g9hAb42U1pjgRAkhJNBDL/4JuS7W&#10;1nZjrYylJm6fvioUehxm5htms5tsL240+s6xhuVCgSCunem40VCVp6cVCB+QDfaOScMXedhtZw8b&#10;zIy7c063IjQiQthnqKENYcik9HVLFv3CDcTRe3ejxRDl2Egz4j3CbS+flUqlxY7jQosDHVqqr8Wn&#10;1fB2mfLmxX1/qKMtz4k7VHV3Ulo/zqf9GkSgKfyH/9qvRkOSJ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CZDxQAAANwAAAAPAAAAAAAAAAAAAAAAAJgCAABkcnMv&#10;ZG93bnJldi54bWxQSwUGAAAAAAQABAD1AAAAigMAAAAA&#10;">
                    <v:textbox inset=".5mm,1mm,.5mm,1mm">
                      <w:txbxContent>
                        <w:p w:rsidR="004A36EF" w:rsidRDefault="004A36EF" w:rsidP="004A36EF">
                          <w:pPr>
                            <w:rPr>
                              <w:szCs w:val="26"/>
                            </w:rPr>
                          </w:pPr>
                          <w:r>
                            <w:rPr>
                              <w:szCs w:val="26"/>
                            </w:rPr>
                            <w:t>ПВ5</w:t>
                          </w:r>
                        </w:p>
                      </w:txbxContent>
                    </v:textbox>
                  </v:shape>
                  <v:line id="Line 357" o:spid="_x0000_s1087" style="position:absolute;flip:x;visibility:visible;mso-wrap-style:square" from="5582,13194" to="6330,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PMUAAADcAAAADwAAAGRycy9kb3ducmV2LnhtbESPzWrDMBCE74W8g9hAb42c0trFiRJM&#10;oMEUemhiet5YG9vEWhlL8c/bV4VCj8PMfMNs95NpxUC9aywrWK8iEMSl1Q1XCorz+9MbCOeRNbaW&#10;ScFMDva7xcMWU21H/qLh5CsRIOxSVFB736VSurImg25lO+LgXW1v0AfZV1L3OAa4aeVzFMXSYMNh&#10;ocaODjWVt9PdKPi8fI/ZHH/I7DhzMhazPie5V+pxOWUbEJ4m/x/+a+dawUv8C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qPMUAAADcAAAADwAAAAAAAAAA&#10;AAAAAAChAgAAZHJzL2Rvd25yZXYueG1sUEsFBgAAAAAEAAQA+QAAAJMDAAAAAA==&#10;">
                    <v:stroke endarrow="classic" endarrowwidth="narrow"/>
                  </v:line>
                  <v:line id="Line 358" o:spid="_x0000_s1088" style="position:absolute;flip:x;visibility:visible;mso-wrap-style:square" from="904,13194" to="109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shape id="Freeform 359" o:spid="_x0000_s1089" style="position:absolute;left:900;top:3507;width:5;height:9672;visibility:visible;mso-wrap-style:square;v-text-anchor:top" coordsize="5,1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A5cQA&#10;AADcAAAADwAAAGRycy9kb3ducmV2LnhtbESPwWrDMBBE74X8g9hALiaRbUJi3CghBAo5FWqX+rpY&#10;G9vUWhlJTdy/rwqFHoeZecMcTrMZxZ2cHywryDYpCOLW6oE7Be/1y7oA4QOyxtEyKfgmD6fj4umA&#10;pbYPfqN7FToRIexLVNCHMJVS+rYng35jJ+Lo3awzGKJ0ndQOHxFuRpmn6U4aHDgu9DjRpaf2s/oy&#10;CuaPRGduNEmR17bJkm3S7PNXpVbL+fwMItAc/sN/7atWsN3t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QOXEAAAA3AAAAA8AAAAAAAAAAAAAAAAAmAIAAGRycy9k&#10;b3ducmV2LnhtbFBLBQYAAAAABAAEAPUAAACJAwAAAAA=&#10;" path="m,10128l5,e" filled="f">
                    <v:path arrowok="t" o:connecttype="custom" o:connectlocs="0,9672;5,0" o:connectangles="0,0"/>
                  </v:shape>
                  <v:line id="Line 360" o:spid="_x0000_s1090" style="position:absolute;visibility:visible;mso-wrap-style:square" from="904,3507" to="2400,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361" o:spid="_x0000_s1091" style="position:absolute;visibility:visible;mso-wrap-style:square" from="2400,3507" to="240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A+8YAAADcAAAADwAAAGRycy9kb3ducmV2LnhtbESPQWsCMRSE7wX/Q3hCL0WzSll0NYoU&#10;FjyUQm0PentsnpvVzcs2ie723zeFQo/DzHzDrLeDbcWdfGgcK5hNMxDEldMN1wo+P8rJAkSIyBpb&#10;x6TgmwJsN6OHNRba9fxO90OsRYJwKFCBibErpAyVIYth6jri5J2dtxiT9LXUHvsEt62cZ1kuLTac&#10;Fgx29GKouh5uVoH3MTTXcnnqj1+XvHwrX4cnUyn1OB52KxCRhvgf/mvvtYLnfAm/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APvGAAAA3AAAAA8AAAAAAAAA&#10;AAAAAAAAoQIAAGRycy9kb3ducmV2LnhtbFBLBQYAAAAABAAEAPkAAACUAwAAAAA=&#10;">
                    <v:stroke endarrow="classic" endarrowwidth="narrow"/>
                  </v:line>
                  <v:line id="Line 362" o:spid="_x0000_s1092" style="position:absolute;visibility:visible;mso-wrap-style:square" from="4831,3507" to="483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M/u8MAAADcAAAADwAAAGRycy9kb3ducmV2LnhtbERPz2vCMBS+C/4P4Q28yEw3xM3OKDIo&#10;7DAEnQe9PZq3prN56ZJo639vDoLHj+/3YtXbRlzIh9qxgpdJBoK4dLrmSsH+p3h+BxEissbGMSm4&#10;UoDVcjhYYK5dx1u67GIlUgiHHBWYGNtcylAashgmriVO3K/zFmOCvpLaY5fCbSNfs2wmLdacGgy2&#10;9GmoPO3OVoH3MdSnYn7sDv9/s2JTfPdjUyo1eurXHyAi9fEhvru/tILpW5qfzqQj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P7vDAAAA3AAAAA8AAAAAAAAAAAAA&#10;AAAAoQIAAGRycy9kb3ducmV2LnhtbFBLBQYAAAAABAAEAPkAAACRAwAAAAA=&#10;">
                    <v:stroke endarrow="classic" endarrowwidth="narrow"/>
                  </v:line>
                  <v:line id="Line 363" o:spid="_x0000_s1093" style="position:absolute;visibility:visible;mso-wrap-style:square" from="4831,3507" to="8010,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shape id="Text Box 364" o:spid="_x0000_s1094" type="#_x0000_t202" style="position:absolute;left:9035;top:13918;width:93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NccUA&#10;AADcAAAADwAAAGRycy9kb3ducmV2LnhtbESPT2vCQBTE7wW/w/IEb3XXKFVSN0FChR568R9eH9nX&#10;JG32bchuNe2nd4WCx2FmfsOs88G24kK9bxxrmE0VCOLSmYYrDcfD9nkFwgdkg61j0vBLHvJs9LTG&#10;1Lgr7+iyD5WIEPYpaqhD6FIpfVmTRT91HXH0Pl1vMUTZV9L0eI1w28pEqRdpseG4UGNHRU3l9/7H&#10;avg4D7tq7v6+1Js9nBauOJbNVmk9GQ+bVxCBhvAI/7ffjYbFMoH7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1xxQAAANwAAAAPAAAAAAAAAAAAAAAAAJgCAABkcnMv&#10;ZG93bnJldi54bWxQSwUGAAAAAAQABAD1AAAAigMAAAAA&#10;">
                    <v:textbox inset=".5mm,1mm,.5mm,1mm">
                      <w:txbxContent>
                        <w:p w:rsidR="004A36EF" w:rsidRDefault="004A36EF" w:rsidP="004A36EF">
                          <w:pPr>
                            <w:jc w:val="center"/>
                          </w:pPr>
                          <w:r>
                            <w:t>Втрати</w:t>
                          </w:r>
                        </w:p>
                      </w:txbxContent>
                    </v:textbox>
                  </v:shape>
                  <v:line id="Line 365" o:spid="_x0000_s1095" style="position:absolute;visibility:visible;mso-wrap-style:square" from="6157,4489" to="615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group>
              </v:group>
            </w:pict>
          </mc:Fallback>
        </mc:AlternateContent>
      </w:r>
    </w:p>
    <w:p w:rsidR="004A36EF" w:rsidRDefault="004A36EF" w:rsidP="004A36EF">
      <w:pPr>
        <w:widowControl w:val="0"/>
        <w:spacing w:line="360" w:lineRule="auto"/>
        <w:ind w:firstLine="567"/>
        <w:jc w:val="both"/>
        <w:rPr>
          <w:b/>
          <w:bCs/>
          <w:lang w:val="uk-UA"/>
        </w:rPr>
      </w:pPr>
    </w:p>
    <w:p w:rsidR="004A36EF" w:rsidRDefault="004A36EF" w:rsidP="004A36EF">
      <w:pPr>
        <w:widowControl w:val="0"/>
        <w:spacing w:line="360" w:lineRule="auto"/>
        <w:ind w:firstLine="567"/>
        <w:jc w:val="both"/>
        <w:rPr>
          <w:b/>
          <w:bCs/>
          <w:lang w:val="uk-UA"/>
        </w:rPr>
      </w:pPr>
    </w:p>
    <w:p w:rsidR="004A36EF" w:rsidRDefault="004A36EF" w:rsidP="004A36EF">
      <w:pPr>
        <w:widowControl w:val="0"/>
        <w:spacing w:line="360" w:lineRule="auto"/>
        <w:ind w:firstLine="567"/>
        <w:jc w:val="both"/>
        <w:rPr>
          <w:b/>
          <w:bCs/>
          <w:lang w:val="uk-UA"/>
        </w:rPr>
      </w:pPr>
    </w:p>
    <w:p w:rsidR="004A36EF" w:rsidRDefault="004A36EF" w:rsidP="004A36EF">
      <w:pPr>
        <w:widowControl w:val="0"/>
        <w:ind w:firstLine="567"/>
        <w:jc w:val="both"/>
        <w:rPr>
          <w:b/>
          <w:bCs/>
          <w:lang w:val="uk-UA"/>
        </w:rPr>
      </w:pPr>
    </w:p>
    <w:p w:rsidR="004A36EF" w:rsidRDefault="004A36EF" w:rsidP="004A36EF">
      <w:pPr>
        <w:widowControl w:val="0"/>
        <w:spacing w:line="360" w:lineRule="auto"/>
        <w:ind w:firstLine="567"/>
        <w:jc w:val="both"/>
        <w:rPr>
          <w:lang w:val="uk-UA"/>
        </w:rPr>
      </w:pPr>
      <w:r>
        <w:rPr>
          <w:lang w:val="uk-UA"/>
        </w:rPr>
        <w:tab/>
      </w:r>
    </w:p>
    <w:p w:rsidR="004A36EF" w:rsidRDefault="004A36EF" w:rsidP="004A36EF">
      <w:pPr>
        <w:pStyle w:val="afffffffffffffffffffc"/>
        <w:ind w:left="1797" w:right="2523" w:hanging="1230"/>
        <w:rPr>
          <w:sz w:val="24"/>
        </w:rPr>
      </w:pPr>
    </w:p>
    <w:p w:rsidR="004A36EF" w:rsidRDefault="004A36EF" w:rsidP="004A36EF">
      <w:pPr>
        <w:pStyle w:val="afffffffffffffffffffc"/>
        <w:ind w:left="1797" w:right="2523" w:hanging="1230"/>
        <w:rPr>
          <w:sz w:val="24"/>
        </w:rPr>
      </w:pPr>
    </w:p>
    <w:p w:rsidR="004A36EF" w:rsidRDefault="004A36EF" w:rsidP="004A36EF">
      <w:pPr>
        <w:pStyle w:val="afffffffffffffffffffc"/>
        <w:ind w:left="1797" w:right="2523" w:hanging="1230"/>
        <w:rPr>
          <w:sz w:val="24"/>
        </w:rPr>
      </w:pPr>
    </w:p>
    <w:p w:rsidR="004A36EF" w:rsidRDefault="004A36EF" w:rsidP="004A36EF">
      <w:pPr>
        <w:pStyle w:val="afffffffffffffffffffc"/>
        <w:ind w:left="1797" w:right="2523" w:hanging="1230"/>
        <w:rPr>
          <w:sz w:val="24"/>
        </w:rPr>
      </w:pPr>
    </w:p>
    <w:p w:rsidR="004A36EF" w:rsidRDefault="004A36EF" w:rsidP="004A36EF">
      <w:pPr>
        <w:pStyle w:val="afffffffffffffffffffc"/>
        <w:ind w:left="1797" w:right="2523" w:hanging="1230"/>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p>
    <w:p w:rsidR="004A36EF" w:rsidRDefault="004A36EF" w:rsidP="004A36EF">
      <w:pPr>
        <w:pStyle w:val="afffffffffffffffffffc"/>
        <w:ind w:left="0" w:right="6" w:firstLine="567"/>
        <w:rPr>
          <w:sz w:val="24"/>
        </w:rPr>
      </w:pPr>
      <w:r>
        <w:rPr>
          <w:sz w:val="24"/>
        </w:rPr>
        <w:lastRenderedPageBreak/>
        <w:t>Рис. 8. Технологічна схема виробництва розчину “Реополіглюкін” для ін’єкцій по 250 та 500 мл в пакетах із полівінілхлориду.</w:t>
      </w:r>
    </w:p>
    <w:p w:rsidR="004A36EF" w:rsidRDefault="004A36EF" w:rsidP="004A36EF">
      <w:pPr>
        <w:pStyle w:val="afffffffffffffffffffc"/>
        <w:ind w:left="0" w:right="6" w:firstLine="567"/>
        <w:rPr>
          <w:sz w:val="24"/>
        </w:rPr>
      </w:pPr>
      <w:r>
        <w:rPr>
          <w:noProof/>
          <w:sz w:val="20"/>
        </w:rPr>
        <mc:AlternateContent>
          <mc:Choice Requires="wpg">
            <w:drawing>
              <wp:anchor distT="0" distB="0" distL="114300" distR="114300" simplePos="0" relativeHeight="251659264" behindDoc="0" locked="0" layoutInCell="1" allowOverlap="1">
                <wp:simplePos x="0" y="0"/>
                <wp:positionH relativeFrom="column">
                  <wp:posOffset>11430</wp:posOffset>
                </wp:positionH>
                <wp:positionV relativeFrom="paragraph">
                  <wp:posOffset>125730</wp:posOffset>
                </wp:positionV>
                <wp:extent cx="6530975" cy="7875270"/>
                <wp:effectExtent l="7620" t="7620" r="5080" b="41910"/>
                <wp:wrapNone/>
                <wp:docPr id="345" name="Группа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7875270"/>
                          <a:chOff x="1233" y="1418"/>
                          <a:chExt cx="10285" cy="10282"/>
                        </a:xfrm>
                      </wpg:grpSpPr>
                      <wps:wsp>
                        <wps:cNvPr id="346" name="Text Box 238"/>
                        <wps:cNvSpPr txBox="1">
                          <a:spLocks noChangeArrowheads="1"/>
                        </wps:cNvSpPr>
                        <wps:spPr bwMode="auto">
                          <a:xfrm>
                            <a:off x="1233" y="1418"/>
                            <a:ext cx="1490" cy="1080"/>
                          </a:xfrm>
                          <a:prstGeom prst="rect">
                            <a:avLst/>
                          </a:prstGeom>
                          <a:solidFill>
                            <a:srgbClr val="FFFFFF"/>
                          </a:solidFill>
                          <a:ln w="9525">
                            <a:solidFill>
                              <a:srgbClr val="000000"/>
                            </a:solidFill>
                            <a:miter lim="800000"/>
                            <a:headEnd/>
                            <a:tailEnd/>
                          </a:ln>
                        </wps:spPr>
                        <wps:txbx>
                          <w:txbxContent>
                            <w:p w:rsidR="004A36EF" w:rsidRDefault="004A36EF" w:rsidP="004A36EF">
                              <w:r>
                                <w:t>ВР1.1.</w:t>
                              </w:r>
                            </w:p>
                            <w:p w:rsidR="004A36EF" w:rsidRDefault="004A36EF" w:rsidP="004A36EF">
                              <w:r>
                                <w:t>Кт, Кх,</w:t>
                              </w:r>
                            </w:p>
                            <w:p w:rsidR="004A36EF" w:rsidRDefault="004A36EF" w:rsidP="004A36EF">
                              <w:r>
                                <w:t>Кмк</w:t>
                              </w:r>
                            </w:p>
                          </w:txbxContent>
                        </wps:txbx>
                        <wps:bodyPr rot="0" vert="horz" wrap="square" lIns="18000" tIns="36000" rIns="18000" bIns="36000" anchor="t" anchorCtr="0" upright="1">
                          <a:noAutofit/>
                        </wps:bodyPr>
                      </wps:wsp>
                      <wps:wsp>
                        <wps:cNvPr id="347" name="Text Box 239"/>
                        <wps:cNvSpPr txBox="1">
                          <a:spLocks noChangeArrowheads="1"/>
                        </wps:cNvSpPr>
                        <wps:spPr bwMode="auto">
                          <a:xfrm>
                            <a:off x="2729" y="1418"/>
                            <a:ext cx="3366" cy="1080"/>
                          </a:xfrm>
                          <a:prstGeom prst="rect">
                            <a:avLst/>
                          </a:prstGeom>
                          <a:solidFill>
                            <a:srgbClr val="FFFFFF"/>
                          </a:solidFill>
                          <a:ln w="9525">
                            <a:solidFill>
                              <a:srgbClr val="000000"/>
                            </a:solidFill>
                            <a:miter lim="800000"/>
                            <a:headEnd/>
                            <a:tailEnd/>
                          </a:ln>
                        </wps:spPr>
                        <wps:txbx>
                          <w:txbxContent>
                            <w:p w:rsidR="004A36EF" w:rsidRDefault="004A36EF" w:rsidP="004A36EF">
                              <w:r>
                                <w:t>Підготовка виробничих приміщень та обладнання до роб</w:t>
                              </w:r>
                              <w:r>
                                <w:t>о</w:t>
                              </w:r>
                              <w:r>
                                <w:t xml:space="preserve">ти </w:t>
                              </w:r>
                            </w:p>
                          </w:txbxContent>
                        </wps:txbx>
                        <wps:bodyPr rot="0" vert="horz" wrap="square" lIns="18000" tIns="36000" rIns="18000" bIns="36000" anchor="t" anchorCtr="0" upright="1">
                          <a:noAutofit/>
                        </wps:bodyPr>
                      </wps:wsp>
                      <wps:wsp>
                        <wps:cNvPr id="348" name="Text Box 240"/>
                        <wps:cNvSpPr txBox="1">
                          <a:spLocks noChangeArrowheads="1"/>
                        </wps:cNvSpPr>
                        <wps:spPr bwMode="auto">
                          <a:xfrm>
                            <a:off x="1233" y="267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ВР1.2.</w:t>
                              </w:r>
                            </w:p>
                            <w:p w:rsidR="004A36EF" w:rsidRDefault="004A36EF" w:rsidP="004A36EF">
                              <w:r>
                                <w:t>Кт, Кх, Кмк</w:t>
                              </w:r>
                            </w:p>
                          </w:txbxContent>
                        </wps:txbx>
                        <wps:bodyPr rot="0" vert="horz" wrap="square" lIns="18000" tIns="36000" rIns="18000" bIns="36000" anchor="t" anchorCtr="0" upright="1">
                          <a:noAutofit/>
                        </wps:bodyPr>
                      </wps:wsp>
                      <wps:wsp>
                        <wps:cNvPr id="349" name="Text Box 241"/>
                        <wps:cNvSpPr txBox="1">
                          <a:spLocks noChangeArrowheads="1"/>
                        </wps:cNvSpPr>
                        <wps:spPr bwMode="auto">
                          <a:xfrm>
                            <a:off x="2729" y="267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Підготовка персоналу та техн</w:t>
                              </w:r>
                              <w:r>
                                <w:t>о</w:t>
                              </w:r>
                              <w:r>
                                <w:t>логічного одягу</w:t>
                              </w:r>
                            </w:p>
                          </w:txbxContent>
                        </wps:txbx>
                        <wps:bodyPr rot="0" vert="horz" wrap="square" lIns="18000" tIns="36000" rIns="18000" bIns="36000" anchor="t" anchorCtr="0" upright="1">
                          <a:noAutofit/>
                        </wps:bodyPr>
                      </wps:wsp>
                      <wps:wsp>
                        <wps:cNvPr id="350" name="Text Box 242"/>
                        <wps:cNvSpPr txBox="1">
                          <a:spLocks noChangeArrowheads="1"/>
                        </wps:cNvSpPr>
                        <wps:spPr bwMode="auto">
                          <a:xfrm>
                            <a:off x="7030" y="2138"/>
                            <a:ext cx="748" cy="720"/>
                          </a:xfrm>
                          <a:prstGeom prst="rect">
                            <a:avLst/>
                          </a:prstGeom>
                          <a:solidFill>
                            <a:srgbClr val="FFFFFF"/>
                          </a:solidFill>
                          <a:ln w="9525">
                            <a:solidFill>
                              <a:srgbClr val="000000"/>
                            </a:solidFill>
                            <a:miter lim="800000"/>
                            <a:headEnd/>
                            <a:tailEnd/>
                          </a:ln>
                        </wps:spPr>
                        <wps:txbx>
                          <w:txbxContent>
                            <w:p w:rsidR="004A36EF" w:rsidRDefault="004A36EF" w:rsidP="004A36EF">
                              <w:r>
                                <w:t>ВР1.</w:t>
                              </w:r>
                            </w:p>
                          </w:txbxContent>
                        </wps:txbx>
                        <wps:bodyPr rot="0" vert="horz" wrap="square" lIns="18000" tIns="36000" rIns="18000" bIns="36000" anchor="t" anchorCtr="0" upright="1">
                          <a:noAutofit/>
                        </wps:bodyPr>
                      </wps:wsp>
                      <wps:wsp>
                        <wps:cNvPr id="351" name="Text Box 243"/>
                        <wps:cNvSpPr txBox="1">
                          <a:spLocks noChangeArrowheads="1"/>
                        </wps:cNvSpPr>
                        <wps:spPr bwMode="auto">
                          <a:xfrm>
                            <a:off x="7778" y="2138"/>
                            <a:ext cx="2431" cy="720"/>
                          </a:xfrm>
                          <a:prstGeom prst="rect">
                            <a:avLst/>
                          </a:prstGeom>
                          <a:solidFill>
                            <a:srgbClr val="FFFFFF"/>
                          </a:solidFill>
                          <a:ln w="9525">
                            <a:solidFill>
                              <a:srgbClr val="000000"/>
                            </a:solidFill>
                            <a:miter lim="800000"/>
                            <a:headEnd/>
                            <a:tailEnd/>
                          </a:ln>
                        </wps:spPr>
                        <wps:txbx>
                          <w:txbxContent>
                            <w:p w:rsidR="004A36EF" w:rsidRDefault="004A36EF" w:rsidP="004A36EF">
                              <w:r>
                                <w:t>Санітарна обробка в</w:t>
                              </w:r>
                              <w:r>
                                <w:t>и</w:t>
                              </w:r>
                              <w:r>
                                <w:t>робництва</w:t>
                              </w:r>
                            </w:p>
                          </w:txbxContent>
                        </wps:txbx>
                        <wps:bodyPr rot="0" vert="horz" wrap="square" lIns="18000" tIns="36000" rIns="18000" bIns="36000" anchor="t" anchorCtr="0" upright="1">
                          <a:noAutofit/>
                        </wps:bodyPr>
                      </wps:wsp>
                      <wps:wsp>
                        <wps:cNvPr id="352" name="Line 244"/>
                        <wps:cNvCnPr/>
                        <wps:spPr bwMode="auto">
                          <a:xfrm>
                            <a:off x="6656" y="195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245"/>
                        <wps:cNvSpPr txBox="1">
                          <a:spLocks noChangeArrowheads="1"/>
                        </wps:cNvSpPr>
                        <wps:spPr bwMode="auto">
                          <a:xfrm>
                            <a:off x="1233" y="375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ТП2.1.</w:t>
                              </w:r>
                            </w:p>
                            <w:p w:rsidR="004A36EF" w:rsidRDefault="004A36EF" w:rsidP="004A36EF">
                              <w:r>
                                <w:t>Кт, Кх</w:t>
                              </w:r>
                            </w:p>
                          </w:txbxContent>
                        </wps:txbx>
                        <wps:bodyPr rot="0" vert="horz" wrap="square" lIns="18000" tIns="36000" rIns="18000" bIns="36000" anchor="t" anchorCtr="0" upright="1">
                          <a:noAutofit/>
                        </wps:bodyPr>
                      </wps:wsp>
                      <wps:wsp>
                        <wps:cNvPr id="354" name="Text Box 246"/>
                        <wps:cNvSpPr txBox="1">
                          <a:spLocks noChangeArrowheads="1"/>
                        </wps:cNvSpPr>
                        <wps:spPr bwMode="auto">
                          <a:xfrm>
                            <a:off x="2729" y="375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Приготування розчину</w:t>
                              </w:r>
                            </w:p>
                          </w:txbxContent>
                        </wps:txbx>
                        <wps:bodyPr rot="0" vert="horz" wrap="square" lIns="18000" tIns="36000" rIns="18000" bIns="36000" anchor="t" anchorCtr="0" upright="1">
                          <a:noAutofit/>
                        </wps:bodyPr>
                      </wps:wsp>
                      <wps:wsp>
                        <wps:cNvPr id="355" name="Text Box 247"/>
                        <wps:cNvSpPr txBox="1">
                          <a:spLocks noChangeArrowheads="1"/>
                        </wps:cNvSpPr>
                        <wps:spPr bwMode="auto">
                          <a:xfrm>
                            <a:off x="1233" y="465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Тп2.2.</w:t>
                              </w:r>
                            </w:p>
                            <w:p w:rsidR="004A36EF" w:rsidRDefault="004A36EF" w:rsidP="004A36EF">
                              <w:r>
                                <w:t>Кт.</w:t>
                              </w:r>
                            </w:p>
                          </w:txbxContent>
                        </wps:txbx>
                        <wps:bodyPr rot="0" vert="horz" wrap="square" lIns="18000" tIns="36000" rIns="18000" bIns="36000" anchor="t" anchorCtr="0" upright="1">
                          <a:noAutofit/>
                        </wps:bodyPr>
                      </wps:wsp>
                      <wps:wsp>
                        <wps:cNvPr id="356" name="Text Box 248"/>
                        <wps:cNvSpPr txBox="1">
                          <a:spLocks noChangeArrowheads="1"/>
                        </wps:cNvSpPr>
                        <wps:spPr bwMode="auto">
                          <a:xfrm>
                            <a:off x="2729" y="465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Фільтрація розчину</w:t>
                              </w:r>
                            </w:p>
                          </w:txbxContent>
                        </wps:txbx>
                        <wps:bodyPr rot="0" vert="horz" wrap="square" lIns="18000" tIns="36000" rIns="18000" bIns="36000" anchor="t" anchorCtr="0" upright="1">
                          <a:noAutofit/>
                        </wps:bodyPr>
                      </wps:wsp>
                      <wps:wsp>
                        <wps:cNvPr id="357" name="Line 249"/>
                        <wps:cNvCnPr/>
                        <wps:spPr bwMode="auto">
                          <a:xfrm>
                            <a:off x="6656" y="411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250"/>
                        <wps:cNvSpPr txBox="1">
                          <a:spLocks noChangeArrowheads="1"/>
                        </wps:cNvSpPr>
                        <wps:spPr bwMode="auto">
                          <a:xfrm>
                            <a:off x="7030" y="4118"/>
                            <a:ext cx="748" cy="900"/>
                          </a:xfrm>
                          <a:prstGeom prst="rect">
                            <a:avLst/>
                          </a:prstGeom>
                          <a:solidFill>
                            <a:srgbClr val="FFFFFF"/>
                          </a:solidFill>
                          <a:ln w="9525">
                            <a:solidFill>
                              <a:srgbClr val="000000"/>
                            </a:solidFill>
                            <a:miter lim="800000"/>
                            <a:headEnd/>
                            <a:tailEnd/>
                          </a:ln>
                        </wps:spPr>
                        <wps:txbx>
                          <w:txbxContent>
                            <w:p w:rsidR="004A36EF" w:rsidRDefault="004A36EF" w:rsidP="004A36EF">
                              <w:r>
                                <w:t>Тп2.</w:t>
                              </w:r>
                            </w:p>
                          </w:txbxContent>
                        </wps:txbx>
                        <wps:bodyPr rot="0" vert="horz" wrap="square" lIns="18000" tIns="36000" rIns="18000" bIns="36000" anchor="t" anchorCtr="0" upright="1">
                          <a:noAutofit/>
                        </wps:bodyPr>
                      </wps:wsp>
                      <wps:wsp>
                        <wps:cNvPr id="359" name="Text Box 251"/>
                        <wps:cNvSpPr txBox="1">
                          <a:spLocks noChangeArrowheads="1"/>
                        </wps:cNvSpPr>
                        <wps:spPr bwMode="auto">
                          <a:xfrm>
                            <a:off x="7778" y="4118"/>
                            <a:ext cx="2431" cy="900"/>
                          </a:xfrm>
                          <a:prstGeom prst="rect">
                            <a:avLst/>
                          </a:prstGeom>
                          <a:solidFill>
                            <a:srgbClr val="FFFFFF"/>
                          </a:solidFill>
                          <a:ln w="9525">
                            <a:solidFill>
                              <a:srgbClr val="000000"/>
                            </a:solidFill>
                            <a:miter lim="800000"/>
                            <a:headEnd/>
                            <a:tailEnd/>
                          </a:ln>
                        </wps:spPr>
                        <wps:txbx>
                          <w:txbxContent>
                            <w:p w:rsidR="004A36EF" w:rsidRDefault="004A36EF" w:rsidP="004A36EF">
                              <w:r>
                                <w:t>Приготування ро</w:t>
                              </w:r>
                              <w:r>
                                <w:t>з</w:t>
                              </w:r>
                              <w:r>
                                <w:t>чину “Трисіль”</w:t>
                              </w:r>
                            </w:p>
                          </w:txbxContent>
                        </wps:txbx>
                        <wps:bodyPr rot="0" vert="horz" wrap="square" lIns="18000" tIns="36000" rIns="18000" bIns="36000" anchor="t" anchorCtr="0" upright="1">
                          <a:noAutofit/>
                        </wps:bodyPr>
                      </wps:wsp>
                      <wps:wsp>
                        <wps:cNvPr id="360" name="Line 252"/>
                        <wps:cNvCnPr/>
                        <wps:spPr bwMode="auto">
                          <a:xfrm>
                            <a:off x="10209" y="447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Text Box 253"/>
                        <wps:cNvSpPr txBox="1">
                          <a:spLocks noChangeArrowheads="1"/>
                        </wps:cNvSpPr>
                        <wps:spPr bwMode="auto">
                          <a:xfrm>
                            <a:off x="10583" y="4298"/>
                            <a:ext cx="935" cy="540"/>
                          </a:xfrm>
                          <a:prstGeom prst="rect">
                            <a:avLst/>
                          </a:prstGeom>
                          <a:solidFill>
                            <a:srgbClr val="FFFFFF"/>
                          </a:solidFill>
                          <a:ln w="9525">
                            <a:solidFill>
                              <a:srgbClr val="000000"/>
                            </a:solidFill>
                            <a:miter lim="800000"/>
                            <a:headEnd/>
                            <a:tailEnd/>
                          </a:ln>
                        </wps:spPr>
                        <wps:txbx>
                          <w:txbxContent>
                            <w:p w:rsidR="004A36EF" w:rsidRDefault="004A36EF" w:rsidP="004A36EF">
                              <w:r>
                                <w:t>Втрати</w:t>
                              </w:r>
                            </w:p>
                          </w:txbxContent>
                        </wps:txbx>
                        <wps:bodyPr rot="0" vert="horz" wrap="square" lIns="18000" tIns="36000" rIns="18000" bIns="36000" anchor="t" anchorCtr="0" upright="1">
                          <a:noAutofit/>
                        </wps:bodyPr>
                      </wps:wsp>
                      <wps:wsp>
                        <wps:cNvPr id="362" name="Text Box 254"/>
                        <wps:cNvSpPr txBox="1">
                          <a:spLocks noChangeArrowheads="1"/>
                        </wps:cNvSpPr>
                        <wps:spPr bwMode="auto">
                          <a:xfrm>
                            <a:off x="1233" y="555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Тп3.1.</w:t>
                              </w:r>
                            </w:p>
                            <w:p w:rsidR="004A36EF" w:rsidRDefault="004A36EF" w:rsidP="004A36EF">
                              <w:r>
                                <w:t>Кт, Кх</w:t>
                              </w:r>
                            </w:p>
                          </w:txbxContent>
                        </wps:txbx>
                        <wps:bodyPr rot="0" vert="horz" wrap="square" lIns="18000" tIns="36000" rIns="18000" bIns="36000" anchor="t" anchorCtr="0" upright="1">
                          <a:noAutofit/>
                        </wps:bodyPr>
                      </wps:wsp>
                      <wps:wsp>
                        <wps:cNvPr id="363" name="Text Box 255"/>
                        <wps:cNvSpPr txBox="1">
                          <a:spLocks noChangeArrowheads="1"/>
                        </wps:cNvSpPr>
                        <wps:spPr bwMode="auto">
                          <a:xfrm>
                            <a:off x="2729" y="555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Наповнення пакетів розч</w:t>
                              </w:r>
                              <w:r>
                                <w:t>и</w:t>
                              </w:r>
                              <w:r>
                                <w:t xml:space="preserve">ном </w:t>
                              </w:r>
                            </w:p>
                          </w:txbxContent>
                        </wps:txbx>
                        <wps:bodyPr rot="0" vert="horz" wrap="square" lIns="18000" tIns="36000" rIns="18000" bIns="36000" anchor="t" anchorCtr="0" upright="1">
                          <a:noAutofit/>
                        </wps:bodyPr>
                      </wps:wsp>
                      <wps:wsp>
                        <wps:cNvPr id="364" name="Text Box 256"/>
                        <wps:cNvSpPr txBox="1">
                          <a:spLocks noChangeArrowheads="1"/>
                        </wps:cNvSpPr>
                        <wps:spPr bwMode="auto">
                          <a:xfrm>
                            <a:off x="2729" y="645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Маркування пакетів</w:t>
                              </w:r>
                            </w:p>
                          </w:txbxContent>
                        </wps:txbx>
                        <wps:bodyPr rot="0" vert="horz" wrap="square" lIns="18000" tIns="36000" rIns="18000" bIns="36000" anchor="t" anchorCtr="0" upright="1">
                          <a:noAutofit/>
                        </wps:bodyPr>
                      </wps:wsp>
                      <wps:wsp>
                        <wps:cNvPr id="365" name="Text Box 257"/>
                        <wps:cNvSpPr txBox="1">
                          <a:spLocks noChangeArrowheads="1"/>
                        </wps:cNvSpPr>
                        <wps:spPr bwMode="auto">
                          <a:xfrm>
                            <a:off x="1233" y="645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Тп3.2.</w:t>
                              </w:r>
                            </w:p>
                            <w:p w:rsidR="004A36EF" w:rsidRDefault="004A36EF" w:rsidP="004A36EF">
                              <w:r>
                                <w:t>Кт</w:t>
                              </w:r>
                            </w:p>
                          </w:txbxContent>
                        </wps:txbx>
                        <wps:bodyPr rot="0" vert="horz" wrap="square" lIns="18000" tIns="36000" rIns="18000" bIns="36000" anchor="t" anchorCtr="0" upright="1">
                          <a:noAutofit/>
                        </wps:bodyPr>
                      </wps:wsp>
                      <wps:wsp>
                        <wps:cNvPr id="366" name="Text Box 258"/>
                        <wps:cNvSpPr txBox="1">
                          <a:spLocks noChangeArrowheads="1"/>
                        </wps:cNvSpPr>
                        <wps:spPr bwMode="auto">
                          <a:xfrm>
                            <a:off x="7030" y="5918"/>
                            <a:ext cx="748" cy="1080"/>
                          </a:xfrm>
                          <a:prstGeom prst="rect">
                            <a:avLst/>
                          </a:prstGeom>
                          <a:solidFill>
                            <a:srgbClr val="FFFFFF"/>
                          </a:solidFill>
                          <a:ln w="9525">
                            <a:solidFill>
                              <a:srgbClr val="000000"/>
                            </a:solidFill>
                            <a:miter lim="800000"/>
                            <a:headEnd/>
                            <a:tailEnd/>
                          </a:ln>
                        </wps:spPr>
                        <wps:txbx>
                          <w:txbxContent>
                            <w:p w:rsidR="004A36EF" w:rsidRDefault="004A36EF" w:rsidP="004A36EF">
                              <w:r>
                                <w:t>Тп3.</w:t>
                              </w:r>
                            </w:p>
                          </w:txbxContent>
                        </wps:txbx>
                        <wps:bodyPr rot="0" vert="horz" wrap="square" lIns="18000" tIns="36000" rIns="18000" bIns="36000" anchor="t" anchorCtr="0" upright="1">
                          <a:noAutofit/>
                        </wps:bodyPr>
                      </wps:wsp>
                      <wps:wsp>
                        <wps:cNvPr id="367" name="Text Box 259"/>
                        <wps:cNvSpPr txBox="1">
                          <a:spLocks noChangeArrowheads="1"/>
                        </wps:cNvSpPr>
                        <wps:spPr bwMode="auto">
                          <a:xfrm>
                            <a:off x="7778" y="5918"/>
                            <a:ext cx="2431" cy="1080"/>
                          </a:xfrm>
                          <a:prstGeom prst="rect">
                            <a:avLst/>
                          </a:prstGeom>
                          <a:solidFill>
                            <a:srgbClr val="FFFFFF"/>
                          </a:solidFill>
                          <a:ln w="9525">
                            <a:solidFill>
                              <a:srgbClr val="000000"/>
                            </a:solidFill>
                            <a:miter lim="800000"/>
                            <a:headEnd/>
                            <a:tailEnd/>
                          </a:ln>
                        </wps:spPr>
                        <wps:txbx>
                          <w:txbxContent>
                            <w:p w:rsidR="004A36EF" w:rsidRDefault="004A36EF" w:rsidP="004A36EF">
                              <w:r>
                                <w:t xml:space="preserve">Наповнення </w:t>
                              </w:r>
                              <w:r>
                                <w:br/>
                                <w:t>пакетів розчином та маркування</w:t>
                              </w:r>
                            </w:p>
                          </w:txbxContent>
                        </wps:txbx>
                        <wps:bodyPr rot="0" vert="horz" wrap="square" lIns="18000" tIns="36000" rIns="18000" bIns="36000" anchor="t" anchorCtr="0" upright="1">
                          <a:noAutofit/>
                        </wps:bodyPr>
                      </wps:wsp>
                      <wps:wsp>
                        <wps:cNvPr id="368" name="Line 260"/>
                        <wps:cNvCnPr/>
                        <wps:spPr bwMode="auto">
                          <a:xfrm>
                            <a:off x="6656" y="591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61"/>
                        <wps:cNvCnPr/>
                        <wps:spPr bwMode="auto">
                          <a:xfrm>
                            <a:off x="10209" y="645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70" name="Text Box 262"/>
                        <wps:cNvSpPr txBox="1">
                          <a:spLocks noChangeArrowheads="1"/>
                        </wps:cNvSpPr>
                        <wps:spPr bwMode="auto">
                          <a:xfrm>
                            <a:off x="10583" y="6278"/>
                            <a:ext cx="935" cy="540"/>
                          </a:xfrm>
                          <a:prstGeom prst="rect">
                            <a:avLst/>
                          </a:prstGeom>
                          <a:solidFill>
                            <a:srgbClr val="FFFFFF"/>
                          </a:solidFill>
                          <a:ln w="9525">
                            <a:solidFill>
                              <a:srgbClr val="000000"/>
                            </a:solidFill>
                            <a:miter lim="800000"/>
                            <a:headEnd/>
                            <a:tailEnd/>
                          </a:ln>
                        </wps:spPr>
                        <wps:txbx>
                          <w:txbxContent>
                            <w:p w:rsidR="004A36EF" w:rsidRDefault="004A36EF" w:rsidP="004A36EF">
                              <w:r>
                                <w:t>Втрати</w:t>
                              </w:r>
                            </w:p>
                          </w:txbxContent>
                        </wps:txbx>
                        <wps:bodyPr rot="0" vert="horz" wrap="square" lIns="18000" tIns="36000" rIns="18000" bIns="36000" anchor="t" anchorCtr="0" upright="1">
                          <a:noAutofit/>
                        </wps:bodyPr>
                      </wps:wsp>
                      <wps:wsp>
                        <wps:cNvPr id="371" name="Text Box 263"/>
                        <wps:cNvSpPr txBox="1">
                          <a:spLocks noChangeArrowheads="1"/>
                        </wps:cNvSpPr>
                        <wps:spPr bwMode="auto">
                          <a:xfrm>
                            <a:off x="1233" y="735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ТП4.1.</w:t>
                              </w:r>
                            </w:p>
                            <w:p w:rsidR="004A36EF" w:rsidRDefault="004A36EF" w:rsidP="004A36EF">
                              <w:r>
                                <w:t>Кт,Кмк, Кп</w:t>
                              </w:r>
                            </w:p>
                          </w:txbxContent>
                        </wps:txbx>
                        <wps:bodyPr rot="0" vert="horz" wrap="square" lIns="18000" tIns="36000" rIns="18000" bIns="36000" anchor="t" anchorCtr="0" upright="1">
                          <a:noAutofit/>
                        </wps:bodyPr>
                      </wps:wsp>
                      <wps:wsp>
                        <wps:cNvPr id="372" name="Text Box 264"/>
                        <wps:cNvSpPr txBox="1">
                          <a:spLocks noChangeArrowheads="1"/>
                        </wps:cNvSpPr>
                        <wps:spPr bwMode="auto">
                          <a:xfrm>
                            <a:off x="2729" y="735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Стерилізація пакетів</w:t>
                              </w:r>
                            </w:p>
                          </w:txbxContent>
                        </wps:txbx>
                        <wps:bodyPr rot="0" vert="horz" wrap="square" lIns="18000" tIns="36000" rIns="18000" bIns="36000" anchor="t" anchorCtr="0" upright="1">
                          <a:noAutofit/>
                        </wps:bodyPr>
                      </wps:wsp>
                      <wps:wsp>
                        <wps:cNvPr id="373" name="Line 265"/>
                        <wps:cNvCnPr/>
                        <wps:spPr bwMode="auto">
                          <a:xfrm>
                            <a:off x="6095" y="681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66"/>
                        <wps:cNvCnPr/>
                        <wps:spPr bwMode="auto">
                          <a:xfrm>
                            <a:off x="6095" y="591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67"/>
                        <wps:cNvCnPr/>
                        <wps:spPr bwMode="auto">
                          <a:xfrm>
                            <a:off x="6095" y="501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68"/>
                        <wps:cNvCnPr/>
                        <wps:spPr bwMode="auto">
                          <a:xfrm>
                            <a:off x="6095" y="411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69"/>
                        <wps:cNvCnPr/>
                        <wps:spPr bwMode="auto">
                          <a:xfrm>
                            <a:off x="6095" y="195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70"/>
                        <wps:cNvCnPr/>
                        <wps:spPr bwMode="auto">
                          <a:xfrm>
                            <a:off x="6095" y="303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71"/>
                        <wps:cNvCnPr/>
                        <wps:spPr bwMode="auto">
                          <a:xfrm>
                            <a:off x="6656" y="645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0" name="Line 272"/>
                        <wps:cNvCnPr/>
                        <wps:spPr bwMode="auto">
                          <a:xfrm>
                            <a:off x="6656" y="465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1" name="Line 273"/>
                        <wps:cNvCnPr/>
                        <wps:spPr bwMode="auto">
                          <a:xfrm>
                            <a:off x="6656" y="249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2" name="Text Box 274"/>
                        <wps:cNvSpPr txBox="1">
                          <a:spLocks noChangeArrowheads="1"/>
                        </wps:cNvSpPr>
                        <wps:spPr bwMode="auto">
                          <a:xfrm>
                            <a:off x="7030" y="7358"/>
                            <a:ext cx="748" cy="720"/>
                          </a:xfrm>
                          <a:prstGeom prst="rect">
                            <a:avLst/>
                          </a:prstGeom>
                          <a:solidFill>
                            <a:srgbClr val="FFFFFF"/>
                          </a:solidFill>
                          <a:ln w="9525">
                            <a:solidFill>
                              <a:srgbClr val="000000"/>
                            </a:solidFill>
                            <a:miter lim="800000"/>
                            <a:headEnd/>
                            <a:tailEnd/>
                          </a:ln>
                        </wps:spPr>
                        <wps:txbx>
                          <w:txbxContent>
                            <w:p w:rsidR="004A36EF" w:rsidRDefault="004A36EF" w:rsidP="004A36EF">
                              <w:r>
                                <w:t>ТП4.</w:t>
                              </w:r>
                            </w:p>
                          </w:txbxContent>
                        </wps:txbx>
                        <wps:bodyPr rot="0" vert="horz" wrap="square" lIns="18000" tIns="36000" rIns="18000" bIns="36000" anchor="t" anchorCtr="0" upright="1">
                          <a:noAutofit/>
                        </wps:bodyPr>
                      </wps:wsp>
                      <wps:wsp>
                        <wps:cNvPr id="383" name="Text Box 275"/>
                        <wps:cNvSpPr txBox="1">
                          <a:spLocks noChangeArrowheads="1"/>
                        </wps:cNvSpPr>
                        <wps:spPr bwMode="auto">
                          <a:xfrm>
                            <a:off x="7778" y="7358"/>
                            <a:ext cx="2431" cy="720"/>
                          </a:xfrm>
                          <a:prstGeom prst="rect">
                            <a:avLst/>
                          </a:prstGeom>
                          <a:solidFill>
                            <a:srgbClr val="FFFFFF"/>
                          </a:solidFill>
                          <a:ln w="9525">
                            <a:solidFill>
                              <a:srgbClr val="000000"/>
                            </a:solidFill>
                            <a:miter lim="800000"/>
                            <a:headEnd/>
                            <a:tailEnd/>
                          </a:ln>
                        </wps:spPr>
                        <wps:txbx>
                          <w:txbxContent>
                            <w:p w:rsidR="004A36EF" w:rsidRDefault="004A36EF" w:rsidP="004A36EF">
                              <w:r>
                                <w:t>Стерилізація пакетів з розчином</w:t>
                              </w:r>
                            </w:p>
                          </w:txbxContent>
                        </wps:txbx>
                        <wps:bodyPr rot="0" vert="horz" wrap="square" lIns="18000" tIns="36000" rIns="18000" bIns="36000" anchor="t" anchorCtr="0" upright="1">
                          <a:noAutofit/>
                        </wps:bodyPr>
                      </wps:wsp>
                      <wps:wsp>
                        <wps:cNvPr id="384" name="Text Box 276"/>
                        <wps:cNvSpPr txBox="1">
                          <a:spLocks noChangeArrowheads="1"/>
                        </wps:cNvSpPr>
                        <wps:spPr bwMode="auto">
                          <a:xfrm>
                            <a:off x="10583" y="7538"/>
                            <a:ext cx="935" cy="540"/>
                          </a:xfrm>
                          <a:prstGeom prst="rect">
                            <a:avLst/>
                          </a:prstGeom>
                          <a:solidFill>
                            <a:srgbClr val="FFFFFF"/>
                          </a:solidFill>
                          <a:ln w="9525">
                            <a:solidFill>
                              <a:srgbClr val="000000"/>
                            </a:solidFill>
                            <a:miter lim="800000"/>
                            <a:headEnd/>
                            <a:tailEnd/>
                          </a:ln>
                        </wps:spPr>
                        <wps:txbx>
                          <w:txbxContent>
                            <w:p w:rsidR="004A36EF" w:rsidRDefault="004A36EF" w:rsidP="004A36EF">
                              <w:r>
                                <w:t>Втрати</w:t>
                              </w:r>
                            </w:p>
                          </w:txbxContent>
                        </wps:txbx>
                        <wps:bodyPr rot="0" vert="horz" wrap="square" lIns="18000" tIns="36000" rIns="18000" bIns="36000" anchor="t" anchorCtr="0" upright="1">
                          <a:noAutofit/>
                        </wps:bodyPr>
                      </wps:wsp>
                      <wps:wsp>
                        <wps:cNvPr id="385" name="Line 277"/>
                        <wps:cNvCnPr/>
                        <wps:spPr bwMode="auto">
                          <a:xfrm>
                            <a:off x="10209" y="771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6" name="Text Box 278"/>
                        <wps:cNvSpPr txBox="1">
                          <a:spLocks noChangeArrowheads="1"/>
                        </wps:cNvSpPr>
                        <wps:spPr bwMode="auto">
                          <a:xfrm>
                            <a:off x="1233" y="8258"/>
                            <a:ext cx="1496" cy="1080"/>
                          </a:xfrm>
                          <a:prstGeom prst="rect">
                            <a:avLst/>
                          </a:prstGeom>
                          <a:solidFill>
                            <a:srgbClr val="FFFFFF"/>
                          </a:solidFill>
                          <a:ln w="9525">
                            <a:solidFill>
                              <a:srgbClr val="000000"/>
                            </a:solidFill>
                            <a:miter lim="800000"/>
                            <a:headEnd/>
                            <a:tailEnd/>
                          </a:ln>
                        </wps:spPr>
                        <wps:txbx>
                          <w:txbxContent>
                            <w:p w:rsidR="004A36EF" w:rsidRDefault="004A36EF" w:rsidP="004A36EF">
                              <w:r>
                                <w:t>ПМВ5.1.</w:t>
                              </w:r>
                            </w:p>
                            <w:p w:rsidR="004A36EF" w:rsidRDefault="004A36EF" w:rsidP="004A36EF">
                              <w:r>
                                <w:t>Кт</w:t>
                              </w:r>
                            </w:p>
                          </w:txbxContent>
                        </wps:txbx>
                        <wps:bodyPr rot="0" vert="horz" wrap="square" lIns="18000" tIns="36000" rIns="18000" bIns="36000" anchor="t" anchorCtr="0" upright="1">
                          <a:noAutofit/>
                        </wps:bodyPr>
                      </wps:wsp>
                      <wps:wsp>
                        <wps:cNvPr id="387" name="Text Box 279"/>
                        <wps:cNvSpPr txBox="1">
                          <a:spLocks noChangeArrowheads="1"/>
                        </wps:cNvSpPr>
                        <wps:spPr bwMode="auto">
                          <a:xfrm>
                            <a:off x="2729" y="8258"/>
                            <a:ext cx="3366" cy="1080"/>
                          </a:xfrm>
                          <a:prstGeom prst="rect">
                            <a:avLst/>
                          </a:prstGeom>
                          <a:solidFill>
                            <a:srgbClr val="FFFFFF"/>
                          </a:solidFill>
                          <a:ln w="9525">
                            <a:solidFill>
                              <a:srgbClr val="000000"/>
                            </a:solidFill>
                            <a:miter lim="800000"/>
                            <a:headEnd/>
                            <a:tailEnd/>
                          </a:ln>
                        </wps:spPr>
                        <wps:txbx>
                          <w:txbxContent>
                            <w:p w:rsidR="004A36EF" w:rsidRDefault="004A36EF" w:rsidP="004A36EF">
                              <w:r>
                                <w:t>Контроль на механічні домішки та інші види браку</w:t>
                              </w:r>
                            </w:p>
                          </w:txbxContent>
                        </wps:txbx>
                        <wps:bodyPr rot="0" vert="horz" wrap="square" lIns="18000" tIns="36000" rIns="18000" bIns="36000" anchor="t" anchorCtr="0" upright="1">
                          <a:noAutofit/>
                        </wps:bodyPr>
                      </wps:wsp>
                      <wps:wsp>
                        <wps:cNvPr id="388" name="Line 280"/>
                        <wps:cNvCnPr/>
                        <wps:spPr bwMode="auto">
                          <a:xfrm>
                            <a:off x="6092" y="7718"/>
                            <a:ext cx="93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9" name="Text Box 281"/>
                        <wps:cNvSpPr txBox="1">
                          <a:spLocks noChangeArrowheads="1"/>
                        </wps:cNvSpPr>
                        <wps:spPr bwMode="auto">
                          <a:xfrm>
                            <a:off x="2729" y="9496"/>
                            <a:ext cx="3366" cy="720"/>
                          </a:xfrm>
                          <a:prstGeom prst="rect">
                            <a:avLst/>
                          </a:prstGeom>
                          <a:solidFill>
                            <a:srgbClr val="FFFFFF"/>
                          </a:solidFill>
                          <a:ln w="9525">
                            <a:solidFill>
                              <a:srgbClr val="000000"/>
                            </a:solidFill>
                            <a:miter lim="800000"/>
                            <a:headEnd/>
                            <a:tailEnd/>
                          </a:ln>
                        </wps:spPr>
                        <wps:txbx>
                          <w:txbxContent>
                            <w:p w:rsidR="004A36EF" w:rsidRDefault="004A36EF" w:rsidP="004A36EF">
                              <w:pPr>
                                <w:rPr>
                                  <w:sz w:val="26"/>
                                </w:rPr>
                              </w:pPr>
                              <w:r>
                                <w:rPr>
                                  <w:sz w:val="26"/>
                                </w:rPr>
                                <w:t>Упаковка пакетів у вторинну упаковку</w:t>
                              </w:r>
                            </w:p>
                          </w:txbxContent>
                        </wps:txbx>
                        <wps:bodyPr rot="0" vert="horz" wrap="square" lIns="18000" tIns="36000" rIns="18000" bIns="36000" anchor="t" anchorCtr="0" upright="1">
                          <a:noAutofit/>
                        </wps:bodyPr>
                      </wps:wsp>
                      <wps:wsp>
                        <wps:cNvPr id="390" name="Text Box 282"/>
                        <wps:cNvSpPr txBox="1">
                          <a:spLocks noChangeArrowheads="1"/>
                        </wps:cNvSpPr>
                        <wps:spPr bwMode="auto">
                          <a:xfrm>
                            <a:off x="1233" y="951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ПМВ5.2.</w:t>
                              </w:r>
                            </w:p>
                            <w:p w:rsidR="004A36EF" w:rsidRDefault="004A36EF" w:rsidP="004A36EF">
                              <w:r>
                                <w:t>Кт,Кх</w:t>
                              </w:r>
                            </w:p>
                          </w:txbxContent>
                        </wps:txbx>
                        <wps:bodyPr rot="0" vert="horz" wrap="square" lIns="18000" tIns="36000" rIns="18000" bIns="36000" anchor="t" anchorCtr="0" upright="1">
                          <a:noAutofit/>
                        </wps:bodyPr>
                      </wps:wsp>
                      <wps:wsp>
                        <wps:cNvPr id="391" name="Text Box 283"/>
                        <wps:cNvSpPr txBox="1">
                          <a:spLocks noChangeArrowheads="1"/>
                        </wps:cNvSpPr>
                        <wps:spPr bwMode="auto">
                          <a:xfrm>
                            <a:off x="2729" y="10418"/>
                            <a:ext cx="3366" cy="720"/>
                          </a:xfrm>
                          <a:prstGeom prst="rect">
                            <a:avLst/>
                          </a:prstGeom>
                          <a:solidFill>
                            <a:srgbClr val="FFFFFF"/>
                          </a:solidFill>
                          <a:ln w="9525">
                            <a:solidFill>
                              <a:srgbClr val="000000"/>
                            </a:solidFill>
                            <a:miter lim="800000"/>
                            <a:headEnd/>
                            <a:tailEnd/>
                          </a:ln>
                        </wps:spPr>
                        <wps:txbx>
                          <w:txbxContent>
                            <w:p w:rsidR="004A36EF" w:rsidRDefault="004A36EF" w:rsidP="004A36EF">
                              <w:r>
                                <w:t>Упаковка у групову тару</w:t>
                              </w:r>
                            </w:p>
                          </w:txbxContent>
                        </wps:txbx>
                        <wps:bodyPr rot="0" vert="horz" wrap="square" lIns="18000" tIns="36000" rIns="18000" bIns="36000" anchor="t" anchorCtr="0" upright="1">
                          <a:noAutofit/>
                        </wps:bodyPr>
                      </wps:wsp>
                      <wps:wsp>
                        <wps:cNvPr id="392" name="Text Box 284"/>
                        <wps:cNvSpPr txBox="1">
                          <a:spLocks noChangeArrowheads="1"/>
                        </wps:cNvSpPr>
                        <wps:spPr bwMode="auto">
                          <a:xfrm>
                            <a:off x="1233" y="10418"/>
                            <a:ext cx="1496" cy="720"/>
                          </a:xfrm>
                          <a:prstGeom prst="rect">
                            <a:avLst/>
                          </a:prstGeom>
                          <a:solidFill>
                            <a:srgbClr val="FFFFFF"/>
                          </a:solidFill>
                          <a:ln w="9525">
                            <a:solidFill>
                              <a:srgbClr val="000000"/>
                            </a:solidFill>
                            <a:miter lim="800000"/>
                            <a:headEnd/>
                            <a:tailEnd/>
                          </a:ln>
                        </wps:spPr>
                        <wps:txbx>
                          <w:txbxContent>
                            <w:p w:rsidR="004A36EF" w:rsidRDefault="004A36EF" w:rsidP="004A36EF">
                              <w:r>
                                <w:t>ПМВ5.3. Кт</w:t>
                              </w:r>
                            </w:p>
                          </w:txbxContent>
                        </wps:txbx>
                        <wps:bodyPr rot="0" vert="horz" wrap="square" lIns="18000" tIns="36000" rIns="18000" bIns="36000" anchor="t" anchorCtr="0" upright="1">
                          <a:noAutofit/>
                        </wps:bodyPr>
                      </wps:wsp>
                      <wps:wsp>
                        <wps:cNvPr id="393" name="Line 285"/>
                        <wps:cNvCnPr/>
                        <wps:spPr bwMode="auto">
                          <a:xfrm>
                            <a:off x="6095" y="879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86"/>
                        <wps:cNvCnPr/>
                        <wps:spPr bwMode="auto">
                          <a:xfrm>
                            <a:off x="6095" y="987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87"/>
                        <wps:cNvCnPr/>
                        <wps:spPr bwMode="auto">
                          <a:xfrm>
                            <a:off x="6095" y="10778"/>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88"/>
                        <wps:cNvCnPr/>
                        <wps:spPr bwMode="auto">
                          <a:xfrm>
                            <a:off x="6656" y="8798"/>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89"/>
                        <wps:cNvCnPr/>
                        <wps:spPr bwMode="auto">
                          <a:xfrm>
                            <a:off x="6656" y="9878"/>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98" name="Text Box 290"/>
                        <wps:cNvSpPr txBox="1">
                          <a:spLocks noChangeArrowheads="1"/>
                        </wps:cNvSpPr>
                        <wps:spPr bwMode="auto">
                          <a:xfrm>
                            <a:off x="7030" y="8978"/>
                            <a:ext cx="935" cy="1620"/>
                          </a:xfrm>
                          <a:prstGeom prst="rect">
                            <a:avLst/>
                          </a:prstGeom>
                          <a:solidFill>
                            <a:srgbClr val="FFFFFF"/>
                          </a:solidFill>
                          <a:ln w="9525">
                            <a:solidFill>
                              <a:srgbClr val="000000"/>
                            </a:solidFill>
                            <a:miter lim="800000"/>
                            <a:headEnd/>
                            <a:tailEnd/>
                          </a:ln>
                        </wps:spPr>
                        <wps:txbx>
                          <w:txbxContent>
                            <w:p w:rsidR="004A36EF" w:rsidRDefault="004A36EF" w:rsidP="004A36EF">
                              <w:r>
                                <w:t>ВМП5</w:t>
                              </w:r>
                            </w:p>
                          </w:txbxContent>
                        </wps:txbx>
                        <wps:bodyPr rot="0" vert="horz" wrap="square" lIns="18000" tIns="36000" rIns="18000" bIns="36000" anchor="t" anchorCtr="0" upright="1">
                          <a:noAutofit/>
                        </wps:bodyPr>
                      </wps:wsp>
                      <wps:wsp>
                        <wps:cNvPr id="399" name="Text Box 291"/>
                        <wps:cNvSpPr txBox="1">
                          <a:spLocks noChangeArrowheads="1"/>
                        </wps:cNvSpPr>
                        <wps:spPr bwMode="auto">
                          <a:xfrm>
                            <a:off x="7965" y="8978"/>
                            <a:ext cx="2244" cy="1620"/>
                          </a:xfrm>
                          <a:prstGeom prst="rect">
                            <a:avLst/>
                          </a:prstGeom>
                          <a:solidFill>
                            <a:srgbClr val="FFFFFF"/>
                          </a:solidFill>
                          <a:ln w="9525">
                            <a:solidFill>
                              <a:srgbClr val="000000"/>
                            </a:solidFill>
                            <a:miter lim="800000"/>
                            <a:headEnd/>
                            <a:tailEnd/>
                          </a:ln>
                        </wps:spPr>
                        <wps:txbx>
                          <w:txbxContent>
                            <w:p w:rsidR="004A36EF" w:rsidRDefault="004A36EF" w:rsidP="004A36EF">
                              <w:r>
                                <w:t>Упаковка та</w:t>
                              </w:r>
                            </w:p>
                            <w:p w:rsidR="004A36EF" w:rsidRDefault="004A36EF" w:rsidP="004A36EF">
                              <w:r>
                                <w:t>відвантаже</w:t>
                              </w:r>
                              <w:r>
                                <w:t>н</w:t>
                              </w:r>
                              <w:r>
                                <w:t>ня</w:t>
                              </w:r>
                            </w:p>
                            <w:p w:rsidR="004A36EF" w:rsidRDefault="004A36EF" w:rsidP="004A36EF">
                              <w:r>
                                <w:t>готового пр</w:t>
                              </w:r>
                              <w:r>
                                <w:t>о</w:t>
                              </w:r>
                              <w:r>
                                <w:t>дукту</w:t>
                              </w:r>
                            </w:p>
                          </w:txbxContent>
                        </wps:txbx>
                        <wps:bodyPr rot="0" vert="horz" wrap="square" lIns="18000" tIns="36000" rIns="18000" bIns="36000" anchor="t" anchorCtr="0" upright="1">
                          <a:noAutofit/>
                        </wps:bodyPr>
                      </wps:wsp>
                      <wps:wsp>
                        <wps:cNvPr id="400" name="Line 292"/>
                        <wps:cNvCnPr/>
                        <wps:spPr bwMode="auto">
                          <a:xfrm>
                            <a:off x="10209" y="9701"/>
                            <a:ext cx="37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1" name="Text Box 293"/>
                        <wps:cNvSpPr txBox="1">
                          <a:spLocks noChangeArrowheads="1"/>
                        </wps:cNvSpPr>
                        <wps:spPr bwMode="auto">
                          <a:xfrm>
                            <a:off x="10583" y="9518"/>
                            <a:ext cx="935" cy="540"/>
                          </a:xfrm>
                          <a:prstGeom prst="rect">
                            <a:avLst/>
                          </a:prstGeom>
                          <a:solidFill>
                            <a:srgbClr val="FFFFFF"/>
                          </a:solidFill>
                          <a:ln w="9525">
                            <a:solidFill>
                              <a:srgbClr val="000000"/>
                            </a:solidFill>
                            <a:miter lim="800000"/>
                            <a:headEnd/>
                            <a:tailEnd/>
                          </a:ln>
                        </wps:spPr>
                        <wps:txbx>
                          <w:txbxContent>
                            <w:p w:rsidR="004A36EF" w:rsidRDefault="004A36EF" w:rsidP="004A36EF">
                              <w:r>
                                <w:t>Втрати</w:t>
                              </w:r>
                            </w:p>
                          </w:txbxContent>
                        </wps:txbx>
                        <wps:bodyPr rot="0" vert="horz" wrap="square" lIns="18000" tIns="36000" rIns="18000" bIns="36000" anchor="t" anchorCtr="0" upright="1">
                          <a:noAutofit/>
                        </wps:bodyPr>
                      </wps:wsp>
                      <wps:wsp>
                        <wps:cNvPr id="402" name="Line 294"/>
                        <wps:cNvCnPr/>
                        <wps:spPr bwMode="auto">
                          <a:xfrm>
                            <a:off x="8339" y="106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95"/>
                        <wps:cNvCnPr/>
                        <wps:spPr bwMode="auto">
                          <a:xfrm>
                            <a:off x="8339" y="11700"/>
                            <a:ext cx="280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45" o:spid="_x0000_s1096" style="position:absolute;left:0;text-align:left;margin-left:.9pt;margin-top:9.9pt;width:514.25pt;height:620.1pt;z-index:251659264" coordorigin="1233,1418" coordsize="10285,1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osHAoAAIKdAAAOAAAAZHJzL2Uyb0RvYy54bWzsXW2O20YS/b/A3oHg/xnx+wuWA2c+jAWc&#10;xIC9B+BQlESEIrkkx5I3CLDAHiEXyQ1yheRGqWaTxW6SmvFoDAq2awyMpaFEkd1Pr6veq+5+8d1h&#10;lyof4rJK8myp6peaqsRZlK+SbLNU//3+9sJTlaoOs1WY5lm8VD/Glfrdy3/+48W+CGIj3+bpKi4V&#10;OElWBftiqW7ruggWiyraxruwusyLOIOD67zchTU8LTeLVRnu4ey7dGFomrPY5+WqKPMorir46zU/&#10;qL5szr9ex1H903pdxbWSLlW4trr5XTa/79jvxcsXYbApw2KbRO1lhCdcxS5MMvhQPNV1WIfKfZmM&#10;TrVLojKv8nV9GeW7Rb5eJ1Hc3APcja4N7uZ1md8Xzb1sgv2mwGaCph2008mnjX788LZUktVSNS1b&#10;VbJwB530529//e+v///5B/z7XWF/h1baF5sAXvy6LN4Vb0t+q/DwTR79XMHhxfA4e77hL1bu9j/k&#10;KzhveF/nTSsd1uWOnQLuXzk0nfEROyM+1EoEf3RsU/NduKYIjrmeaxtu213RFvqUvU83TFNV4LBu&#10;6R7vymh7075f1wyvfTd7aLDjizDgH91cbnt57N4AfFXfvtXz2vfdNiziptsq1mTYvk7Xvu/ZPX6f&#10;HxTDbC6bfT68kDWsUh/gANxR004Vb18ly6+2YbaJX5Vlvt/G4QquUG9uSHgrv4+KneSxBp9ouK7Z&#10;dcuH7wlrc13zmgbHRguDoqzq13G+U9iDpVrC16u5zvDDm6rm7du9hHVvlafJ6jZJ0+ZJubm7Skvl&#10;Qwhfxdvmp+0S6WVppuyXqm8bNm+Bo6fQmp+pU+ySGjglTXZL1cMXhQFrt5tsBZcZBnWYpPwx3F2a&#10;NfitAtZ2vBXrw92Bfyuwg+7y1Udo2jLnHAKcBw+2eflfVdkDfyzV6j/3YRmrSvqvjHUP+2ggnOaJ&#10;6TRPSvHInXgkzCI41VKtVYU/vKo5Sd0XZbLZwidxQGT5K/gOrZOmsVnf86tqrx8wPBuY3Qkw+6w3&#10;BETOA2bDNfwBC3RgNk0HvnQE5g7M2EEEZomZIUjhI1/PzFbDfbODGZnZcNx2SOvADMzcgtk1iJj7&#10;/iEsS1gGLhxhuYkVZscyEvMYyz0xE5aXqoX9Q1gWsWxDADXCchPIz45lVzPhYiAqNnQes4dBx8uu&#10;BcNHk6QQLasWdg9BWYKyPgFl8yzxsutCZDENZcMy4ToJyzz3s7B/CMsSlo0Oy2+SLFYMyxJwfJW9&#10;Ldss8JOkCMexIaplcoNvDwLeT9YhUriMh3SILGciRJP4fwZ5AUS5VkV4UFFoBgiQRZjcwIaKRg38&#10;xdf8G+/Gsy4sw7m5sLTr64tXt1fWhXOru/a1eX11da3/yu5Ft4JtslrFGbv0TpnUrU9TplqNlGuK&#10;qE1iMyzksze6GFxi939z0aCQiYII/wZAEzZ/n1FosEHhG8UArSJ5LtXMdIdQpdwM0IKiWU8IRJwS&#10;cVoTWHYE8pxPAcbcbIxlys0kLCPXEJYlLKNbJGhm7lmwjJqZ5RAvP2RmWMg1hGUJyxPOHCT1ZzUz&#10;xlgmXpZ4GbmGsCxhGY25NjlDzwcc5pOTM0vvDPZO9WqTMx9MTpYVdMb6yCOm3GxQ7PE15WYTvhlo&#10;tufgTdRnx0hFffZRrH4D9Qz9sEa0KdHmhG1moy0za3EO6rNjKPf6LGEZbDMc2gjLIpYdtM14CGCj&#10;J3NCCAC1cxovr7GsYUWC6YKgwdyCLycGUOqPBVQiVnUcpvUWSrfg8Q5qtmKoXt3FqzaWYUkU6beX&#10;T6oqPVL16EwYX6DpniNG0DXb4/WiluEPvAbfbGtFbV5Ycjyg/QaChD6GI2KViBWNr17zskXzaz79&#10;FjUv2ybN6yHNqw/iCMsSlid8NRu17lkDXvQixlgmzUvUvPpAjrAsYXnCV4OqgnPEGIhlxxryMmFZ&#10;wjLGgIRlCcsTvpqNWvesvIwxxhjLVO8gYRljQMKyhOUJX42z4vnqd21/6GSgPkwT3lZLtY8BCcsS&#10;ltFXE3I/FCBn5WUUiMdY7gViAjMDMwaBBGYJzGjccYUYFOM+WD7ZJB7DkUxiKuB10FlrsSa6ak/F&#10;Wu9GjGNSciOomhwXAjniRsASEqNqcke0x2ZUcNGNcIyhsUZuhFBN3me/NIiLg7g74aw5qKrMGpGi&#10;UuCaQ9WLlAJJKcCqUsKyhOUJZ81BVWVWLKOCO8YyKbgSljH7JSxLWEZnrQ14RVftqQGvo/kgCEOJ&#10;jeMNdSublVZ8WdU3kGS26y1Rdc1nqa5hBVh8dmSLNRQ8gDNPxto4kSesUSLP1uKTsCa6UqdjTSNe&#10;o1nf3apx3VqJLjpHLa9h3PwcXhsXVBOvEa+56Oy0WMO49jlYGy9nQVgjrLGVd8QxlC9p27rhJ4+h&#10;pjZck4qwRlhzB8YL6IWfweQj32Wp0io+R5csP+K7wErSMu+JnsuTea9bMmpijjzNSKIVpbrNAI5h&#10;EX0THu+5omdyMhYNaziliPxo8qMf86NhW4KWF/uqMqCwfpyez4/GGfRj3wMrJGmxXhDisVaKbA/R&#10;9mBTK4cL9YFkeBYodyucjqHcF0gSlgHLmBIQliUso60i0LJorcxHy/2kZdceZvlUJiSUCfVlXIRl&#10;CcsD2wbkzp6Tnxru9vWXrjv0bSjepXj30XgXfR2BWEVvZ0Zi7TYP84zjNWs0iwJmUfRFhcSsErOi&#10;cSSAWTSP5gMzFq2NwdwXrRGYGZgxuyYwS2AeOFN877/TnSkQNqBqbRwlYMxKa0bRmv/HFFp0rnpi&#10;9TBVPU81sM92X4PAmW/mwDYo7YmVpATgVZR6iFdFXmW7qQ5lMb4Z7exz4HGWhm8PczeapSFWtsOm&#10;oW2KTFiWsIzOmcDLont2hoBX13Dv525paiJmCcyo9xCYJTBPWG8eJgezBhlIzBNgJmaWwIxaEYFZ&#10;AjOab7ymAXa+P13kxTlHnjusaaC6Qqor9NEca7GG0dJz6qV9bzgJnrBGWGOTH8V6aQ+DmedgTddY&#10;gYCUzBPYCGwg8Mhgw2DjFLB1RarjQbRdFUn3ucZ6fKnxlPY1XdeXUb5b5Ot1EsWLr2jvHB/No3YU&#10;FY2jp9ryuInueBQlV55c+cdceYjyRxol6JZ9BjGfroNVqJ4/HKLROdId4xHz6BvYowGWVSONku36&#10;3cro3cxhf8I78s/jHbk+mCLMBR1j2WCbpjeLdxCYwZTvp0GSrCPIOhZsrihFpP5zpk31tXu+qzXf&#10;CMHLpHlTNG/q4XlTFmBmHCWcx/3pi6LHViaGCbSTExArjnxErBKxovnDsy/QNPto96nZl2eaEHTA&#10;OK9rbWTaE2uX62uU6x92aVYFoW4t1W1dF8FiUUXbeBdW0ythfT25vqUN3BlQNT8H2nSXb77co83w&#10;NIg4v6w14WhHRpbB7KsC1sbbF5tgv2GPwmBThsU2ia7DOhSfN68KYiPf5ukqLl/+DQAA//8DAFBL&#10;AwQUAAYACAAAACEAF/JrLN4AAAAKAQAADwAAAGRycy9kb3ducmV2LnhtbEyPQWvDMAyF74P9B6PB&#10;bqudhpU1i1NK2XYqg7WD0Zsbq0loLIfYTdJ/P/W0nZ4eTzx9yleTa8WAfWg8aUhmCgRS6W1DlYbv&#10;/fvTC4gQDVnTekINVwywKu7vcpNZP9IXDrtYCS6hkBkNdYxdJmUoa3QmzHyHxNnJ985Etn0lbW9G&#10;LnetnCu1kM40xBdq0+GmxvK8uzgNH6MZ12nyNmzPp831sH/+/NkmqPXjw7R+BRFxin/LcMNndCiY&#10;6egvZINo2TN4ZFmy3mKVqhTEkaf5QimQRS7/v1D8AgAA//8DAFBLAQItABQABgAIAAAAIQC2gziS&#10;/gAAAOEBAAATAAAAAAAAAAAAAAAAAAAAAABbQ29udGVudF9UeXBlc10ueG1sUEsBAi0AFAAGAAgA&#10;AAAhADj9If/WAAAAlAEAAAsAAAAAAAAAAAAAAAAALwEAAF9yZWxzLy5yZWxzUEsBAi0AFAAGAAgA&#10;AAAhAAfKKiwcCgAAgp0AAA4AAAAAAAAAAAAAAAAALgIAAGRycy9lMm9Eb2MueG1sUEsBAi0AFAAG&#10;AAgAAAAhABfyayzeAAAACgEAAA8AAAAAAAAAAAAAAAAAdgwAAGRycy9kb3ducmV2LnhtbFBLBQYA&#10;AAAABAAEAPMAAACBDQAAAAA=&#10;">
                <v:shape id="Text Box 238" o:spid="_x0000_s1097" type="#_x0000_t202" style="position:absolute;left:1233;top:1418;width:14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qsMA&#10;AADcAAAADwAAAGRycy9kb3ducmV2LnhtbESPS6vCMBSE94L/IRzBnSY+EKlGEVFwcTe+cHtojm3v&#10;bU5KE7XeX28EweUwM98w82VjS3Gn2heONQz6CgRx6kzBmYbTcdubgvAB2WDpmDQ8ycNy0W7NMTHu&#10;wXu6H0ImIoR9ghryEKpESp/mZNH3XUUcvaurLYYo60yaGh8Rbks5VGoiLRYcF3KsaJ1T+ne4WQ0/&#10;l2afjdz/r9rY43ns1qe02Cqtu51mNQMRqAnf8Ke9MxpG4wm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WMqsMAAADcAAAADwAAAAAAAAAAAAAAAACYAgAAZHJzL2Rv&#10;d25yZXYueG1sUEsFBgAAAAAEAAQA9QAAAIgDAAAAAA==&#10;">
                  <v:textbox inset=".5mm,1mm,.5mm,1mm">
                    <w:txbxContent>
                      <w:p w:rsidR="004A36EF" w:rsidRDefault="004A36EF" w:rsidP="004A36EF">
                        <w:r>
                          <w:t>ВР1.1.</w:t>
                        </w:r>
                      </w:p>
                      <w:p w:rsidR="004A36EF" w:rsidRDefault="004A36EF" w:rsidP="004A36EF">
                        <w:r>
                          <w:t>Кт, Кх,</w:t>
                        </w:r>
                      </w:p>
                      <w:p w:rsidR="004A36EF" w:rsidRDefault="004A36EF" w:rsidP="004A36EF">
                        <w:r>
                          <w:t>Кмк</w:t>
                        </w:r>
                      </w:p>
                    </w:txbxContent>
                  </v:textbox>
                </v:shape>
                <v:shape id="Text Box 239" o:spid="_x0000_s1098" type="#_x0000_t202" style="position:absolute;left:2729;top:1418;width:336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pMcQA&#10;AADcAAAADwAAAGRycy9kb3ducmV2LnhtbESPS4sCMRCE74L/IbTgTRMfqMwaRUTBw1584bWZ9M7M&#10;7qQzTKKO++uNIHgsquorar5sbCluVPvCsYZBX4EgTp0pONNwOm57MxA+IBssHZOGB3lYLtqtOSbG&#10;3XlPt0PIRISwT1BDHkKVSOnTnCz6vquIo/fjaoshyjqTpsZ7hNtSDpWaSIsFx4UcK1rnlP4drlbD&#10;96XZZyP3/6s29ngeu/UpLbZK626nWX2BCNSET/jd3hkNo/E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KTHEAAAA3AAAAA8AAAAAAAAAAAAAAAAAmAIAAGRycy9k&#10;b3ducmV2LnhtbFBLBQYAAAAABAAEAPUAAACJAwAAAAA=&#10;">
                  <v:textbox inset=".5mm,1mm,.5mm,1mm">
                    <w:txbxContent>
                      <w:p w:rsidR="004A36EF" w:rsidRDefault="004A36EF" w:rsidP="004A36EF">
                        <w:r>
                          <w:t>Підготовка виробничих приміщень та обладнання до роб</w:t>
                        </w:r>
                        <w:r>
                          <w:t>о</w:t>
                        </w:r>
                        <w:r>
                          <w:t xml:space="preserve">ти </w:t>
                        </w:r>
                      </w:p>
                    </w:txbxContent>
                  </v:textbox>
                </v:shape>
                <v:shape id="Text Box 240" o:spid="_x0000_s1099" type="#_x0000_t202" style="position:absolute;left:1233;top:267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9Q8AA&#10;AADcAAAADwAAAGRycy9kb3ducmV2LnhtbERPy4rCMBTdC/5DuII7TXwgUo0iojALN2rF7aW5ttXm&#10;pjQZrX79ZDHg8nDey3VrK/GkxpeONYyGCgRx5kzJuYb0vB/MQfiAbLByTBre5GG96naWmBj34iM9&#10;TyEXMYR9ghqKEOpESp8VZNEPXU0cuZtrLIYIm1yaBl8x3FZyrNRMWiw5NhRY07ag7HH6tRoO1/aY&#10;T9znrnb2fJm6bZqVe6V1v9duFiACteEr/nf/GA2TaVwbz8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a9Q8AAAADcAAAADwAAAAAAAAAAAAAAAACYAgAAZHJzL2Rvd25y&#10;ZXYueG1sUEsFBgAAAAAEAAQA9QAAAIUDAAAAAA==&#10;">
                  <v:textbox inset=".5mm,1mm,.5mm,1mm">
                    <w:txbxContent>
                      <w:p w:rsidR="004A36EF" w:rsidRDefault="004A36EF" w:rsidP="004A36EF">
                        <w:r>
                          <w:t>ВР1.2.</w:t>
                        </w:r>
                      </w:p>
                      <w:p w:rsidR="004A36EF" w:rsidRDefault="004A36EF" w:rsidP="004A36EF">
                        <w:r>
                          <w:t>Кт, Кх, Кмк</w:t>
                        </w:r>
                      </w:p>
                    </w:txbxContent>
                  </v:textbox>
                </v:shape>
                <v:shape id="Text Box 241" o:spid="_x0000_s1100" type="#_x0000_t202" style="position:absolute;left:2729;top:267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Y2MQA&#10;AADcAAAADwAAAGRycy9kb3ducmV2LnhtbESPS4sCMRCE74L/IbTgTRMfiM4aRUTBw1584bWZ9M7M&#10;7qQzTKKO++uNIHgsquorar5sbCluVPvCsYZBX4EgTp0pONNwOm57UxA+IBssHZOGB3lYLtqtOSbG&#10;3XlPt0PIRISwT1BDHkKVSOnTnCz6vquIo/fjaoshyjqTpsZ7hNtSDpWaSIsFx4UcK1rnlP4drlbD&#10;96XZZyP3/6s29ngeu/UpLbZK626nWX2BCNSET/jd3hkNo/E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GNjEAAAA3AAAAA8AAAAAAAAAAAAAAAAAmAIAAGRycy9k&#10;b3ducmV2LnhtbFBLBQYAAAAABAAEAPUAAACJAwAAAAA=&#10;">
                  <v:textbox inset=".5mm,1mm,.5mm,1mm">
                    <w:txbxContent>
                      <w:p w:rsidR="004A36EF" w:rsidRDefault="004A36EF" w:rsidP="004A36EF">
                        <w:r>
                          <w:t>Підготовка персоналу та техн</w:t>
                        </w:r>
                        <w:r>
                          <w:t>о</w:t>
                        </w:r>
                        <w:r>
                          <w:t>логічного одягу</w:t>
                        </w:r>
                      </w:p>
                    </w:txbxContent>
                  </v:textbox>
                </v:shape>
                <v:shape id="Text Box 242" o:spid="_x0000_s1101" type="#_x0000_t202" style="position:absolute;left:7030;top:2138;width:7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mMEA&#10;AADcAAAADwAAAGRycy9kb3ducmV2LnhtbERPy4rCMBTdC/5DuMLsNFFHkWpaRBRmMRtfuL0017ba&#10;3JQmame+frIYcHk471XW2Vo8qfWVYw3jkQJBnDtTcaHhdNwNFyB8QDZYOyYNP+QhS/u9FSbGvXhP&#10;z0MoRAxhn6CGMoQmkdLnJVn0I9cQR+7qWoshwraQpsVXDLe1nCg1lxYrjg0lNrQpKb8fHlbD96Xb&#10;F1P3e1Nbezx/us0pr3ZK649Bt16CCNSFt/jf/WU0TGdxfjwTj4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5J5jBAAAA3AAAAA8AAAAAAAAAAAAAAAAAmAIAAGRycy9kb3du&#10;cmV2LnhtbFBLBQYAAAAABAAEAPUAAACGAwAAAAA=&#10;">
                  <v:textbox inset=".5mm,1mm,.5mm,1mm">
                    <w:txbxContent>
                      <w:p w:rsidR="004A36EF" w:rsidRDefault="004A36EF" w:rsidP="004A36EF">
                        <w:r>
                          <w:t>ВР1.</w:t>
                        </w:r>
                      </w:p>
                    </w:txbxContent>
                  </v:textbox>
                </v:shape>
                <v:shape id="Text Box 243" o:spid="_x0000_s1102" type="#_x0000_t202" style="position:absolute;left:7778;top:2138;width:243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CA8MA&#10;AADcAAAADwAAAGRycy9kb3ducmV2LnhtbESPS4sCMRCE7wv+h9CCtzXxicwaRUTBgxdfeG0mvTOz&#10;O+kMk6ijv94Igseiqr6ipvPGluJKtS8ca+h1FQji1JmCMw3Hw/p7AsIHZIOlY9JwJw/zWetriolx&#10;N97RdR8yESHsE9SQh1AlUvo0J4u+6yri6P262mKIss6kqfEW4baUfaXG0mLBcSHHipY5pf/7i9Ww&#10;PTe7bOAef2plD6ehWx7TYq207rSbxQ+IQE34hN/tjdEwG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WCA8MAAADcAAAADwAAAAAAAAAAAAAAAACYAgAAZHJzL2Rv&#10;d25yZXYueG1sUEsFBgAAAAAEAAQA9QAAAIgDAAAAAA==&#10;">
                  <v:textbox inset=".5mm,1mm,.5mm,1mm">
                    <w:txbxContent>
                      <w:p w:rsidR="004A36EF" w:rsidRDefault="004A36EF" w:rsidP="004A36EF">
                        <w:r>
                          <w:t>Санітарна обробка в</w:t>
                        </w:r>
                        <w:r>
                          <w:t>и</w:t>
                        </w:r>
                        <w:r>
                          <w:t>робництва</w:t>
                        </w:r>
                      </w:p>
                    </w:txbxContent>
                  </v:textbox>
                </v:shape>
                <v:line id="Line 244" o:spid="_x0000_s1103" style="position:absolute;visibility:visible;mso-wrap-style:square" from="6656,1958" to="665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Text Box 245" o:spid="_x0000_s1104" type="#_x0000_t202" style="position:absolute;left:1233;top:375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578UA&#10;AADcAAAADwAAAGRycy9kb3ducmV2LnhtbESPQWvCQBSE70L/w/IKvZldTSsSXUWkQg+9RCNeH9nX&#10;JDX7NmS3Ju2v7xYKHoeZ+YZZb0fbihv1vnGsYZYoEMSlMw1XGorTYboE4QOywdYxafgmD9vNw2SN&#10;mXED53Q7hkpECPsMNdQhdJmUvqzJok9cRxy9D9dbDFH2lTQ9DhFuWzlXaiEtNhwXauxoX1N5PX5Z&#10;De+XMa9S9/OpXu3p/Oz2RdkclNZPj+NuBSLQGO7h//ab0ZC+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7nvxQAAANwAAAAPAAAAAAAAAAAAAAAAAJgCAABkcnMv&#10;ZG93bnJldi54bWxQSwUGAAAAAAQABAD1AAAAigMAAAAA&#10;">
                  <v:textbox inset=".5mm,1mm,.5mm,1mm">
                    <w:txbxContent>
                      <w:p w:rsidR="004A36EF" w:rsidRDefault="004A36EF" w:rsidP="004A36EF">
                        <w:r>
                          <w:t>ТП2.1.</w:t>
                        </w:r>
                      </w:p>
                      <w:p w:rsidR="004A36EF" w:rsidRDefault="004A36EF" w:rsidP="004A36EF">
                        <w:r>
                          <w:t>Кт, Кх</w:t>
                        </w:r>
                      </w:p>
                    </w:txbxContent>
                  </v:textbox>
                </v:shape>
                <v:shape id="Text Box 246" o:spid="_x0000_s1105" type="#_x0000_t202" style="position:absolute;left:2729;top:375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m8MA&#10;AADcAAAADwAAAGRycy9kb3ducmV2LnhtbESPS4sCMRCE74L/IbTgTROfyKxRRBQ87MUXXptJ78zs&#10;TjrDJOq4v94Igseiqr6i5svGluJGtS8caxj0FQji1JmCMw2n47Y3A+EDssHSMWl4kIflot2aY2Lc&#10;nfd0O4RMRAj7BDXkIVSJlD7NyaLvu4o4ej+uthiirDNparxHuC3lUKmptFhwXMixonVO6d/hajV8&#10;X5p9NnL/v2pjj+exW5/SYqu07naa1ReIQE34hN/tndEwmoz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hm8MAAADcAAAADwAAAAAAAAAAAAAAAACYAgAAZHJzL2Rv&#10;d25yZXYueG1sUEsFBgAAAAAEAAQA9QAAAIgDAAAAAA==&#10;">
                  <v:textbox inset=".5mm,1mm,.5mm,1mm">
                    <w:txbxContent>
                      <w:p w:rsidR="004A36EF" w:rsidRDefault="004A36EF" w:rsidP="004A36EF">
                        <w:r>
                          <w:t>Приготування розчину</w:t>
                        </w:r>
                      </w:p>
                    </w:txbxContent>
                  </v:textbox>
                </v:shape>
                <v:shape id="Text Box 247" o:spid="_x0000_s1106" type="#_x0000_t202" style="position:absolute;left:1233;top:465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EAMMA&#10;AADcAAAADwAAAGRycy9kb3ducmV2LnhtbESPS4sCMRCE74L/IbTgTROfyKxRRBQ87MUXXptJ78zs&#10;TjrDJOq4v94Igseiqr6i5svGluJGtS8caxj0FQji1JmCMw2n47Y3A+EDssHSMWl4kIflot2aY2Lc&#10;nfd0O4RMRAj7BDXkIVSJlD7NyaLvu4o4ej+uthiirDNparxHuC3lUKmptFhwXMixonVO6d/hajV8&#10;X5p9NnL/v2pjj+exW5/SYqu07naa1ReIQE34hN/tndEwmkz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6EAMMAAADcAAAADwAAAAAAAAAAAAAAAACYAgAAZHJzL2Rv&#10;d25yZXYueG1sUEsFBgAAAAAEAAQA9QAAAIgDAAAAAA==&#10;">
                  <v:textbox inset=".5mm,1mm,.5mm,1mm">
                    <w:txbxContent>
                      <w:p w:rsidR="004A36EF" w:rsidRDefault="004A36EF" w:rsidP="004A36EF">
                        <w:r>
                          <w:t>Тп2.2.</w:t>
                        </w:r>
                      </w:p>
                      <w:p w:rsidR="004A36EF" w:rsidRDefault="004A36EF" w:rsidP="004A36EF">
                        <w:r>
                          <w:t>Кт.</w:t>
                        </w:r>
                      </w:p>
                    </w:txbxContent>
                  </v:textbox>
                </v:shape>
                <v:shape id="Text Box 248" o:spid="_x0000_s1107" type="#_x0000_t202" style="position:absolute;left:2729;top:465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ad8QA&#10;AADcAAAADwAAAGRycy9kb3ducmV2LnhtbESPzYvCMBTE78L+D+EteNPEjy1L1ygiCh68+LHs9dE8&#10;22rzUpqo1b/eCAseh5n5DTOZtbYSV2p86VjDoK9AEGfOlJxrOOxXvW8QPiAbrByThjt5mE0/OhNM&#10;jbvxlq67kIsIYZ+ihiKEOpXSZwVZ9H1XE0fv6BqLIcoml6bBW4TbSg6VSqTFkuNCgTUtCsrOu4vV&#10;sPlrt/nIPU5qafe/Y7c4ZOVKad39bOc/IAK14R3+b6+NhtFXAq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GnfEAAAA3AAAAA8AAAAAAAAAAAAAAAAAmAIAAGRycy9k&#10;b3ducmV2LnhtbFBLBQYAAAAABAAEAPUAAACJAwAAAAA=&#10;">
                  <v:textbox inset=".5mm,1mm,.5mm,1mm">
                    <w:txbxContent>
                      <w:p w:rsidR="004A36EF" w:rsidRDefault="004A36EF" w:rsidP="004A36EF">
                        <w:r>
                          <w:t>Фільтрація розчину</w:t>
                        </w:r>
                      </w:p>
                    </w:txbxContent>
                  </v:textbox>
                </v:shape>
                <v:line id="Line 249" o:spid="_x0000_s1108" style="position:absolute;visibility:visible;mso-wrap-style:square" from="6656,4118" to="6656,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shape id="Text Box 250" o:spid="_x0000_s1109" type="#_x0000_t202" style="position:absolute;left:7030;top:4118;width:7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nsEA&#10;AADcAAAADwAAAGRycy9kb3ducmV2LnhtbERPy4rCMBTdC/5DuMLsNFFHkWpaRBRmMRtfuL0017ba&#10;3JQmame+frIYcHk471XW2Vo8qfWVYw3jkQJBnDtTcaHhdNwNFyB8QDZYOyYNP+QhS/u9FSbGvXhP&#10;z0MoRAxhn6CGMoQmkdLnJVn0I9cQR+7qWoshwraQpsVXDLe1nCg1lxYrjg0lNrQpKb8fHlbD96Xb&#10;F1P3e1Nbezx/us0pr3ZK649Bt16CCNSFt/jf/WU0TGdxbTwTj4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PK57BAAAA3AAAAA8AAAAAAAAAAAAAAAAAmAIAAGRycy9kb3du&#10;cmV2LnhtbFBLBQYAAAAABAAEAPUAAACGAwAAAAA=&#10;">
                  <v:textbox inset=".5mm,1mm,.5mm,1mm">
                    <w:txbxContent>
                      <w:p w:rsidR="004A36EF" w:rsidRDefault="004A36EF" w:rsidP="004A36EF">
                        <w:r>
                          <w:t>Тп2.</w:t>
                        </w:r>
                      </w:p>
                    </w:txbxContent>
                  </v:textbox>
                </v:shape>
                <v:shape id="Text Box 251" o:spid="_x0000_s1110" type="#_x0000_t202" style="position:absolute;left:7778;top:4118;width:243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OBcQA&#10;AADcAAAADwAAAGRycy9kb3ducmV2LnhtbESPS4sCMRCE7wv+h9CCtzXxye5oFJEVPHjxxV6bSe/M&#10;6KQzTLI6+uuNIHgsquorajpvbCkuVPvCsYZeV4EgTp0pONNw2K8+v0D4gGywdEwabuRhPmt9TDEx&#10;7spbuuxCJiKEfYIa8hCqREqf5mTRd11FHL0/V1sMUdaZNDVeI9yWsq/UWFosOC7kWNEyp/S8+7ca&#10;Nr/NNhu4+0n92P1x6JaHtFgprTvtZjEBEagJ7/CrvTYaBq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gXEAAAA3AAAAA8AAAAAAAAAAAAAAAAAmAIAAGRycy9k&#10;b3ducmV2LnhtbFBLBQYAAAAABAAEAPUAAACJAwAAAAA=&#10;">
                  <v:textbox inset=".5mm,1mm,.5mm,1mm">
                    <w:txbxContent>
                      <w:p w:rsidR="004A36EF" w:rsidRDefault="004A36EF" w:rsidP="004A36EF">
                        <w:r>
                          <w:t>Приготування ро</w:t>
                        </w:r>
                        <w:r>
                          <w:t>з</w:t>
                        </w:r>
                        <w:r>
                          <w:t>чину “Трисіль”</w:t>
                        </w:r>
                      </w:p>
                    </w:txbxContent>
                  </v:textbox>
                </v:shape>
                <v:line id="Line 252" o:spid="_x0000_s1111" style="position:absolute;visibility:visible;mso-wrap-style:square" from="10209,4478" to="10583,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kA8MAAADcAAAADwAAAGRycy9kb3ducmV2LnhtbERPu2rDMBTdA/0HcQtdQi2nAdO6UUIJ&#10;GDqEQB5Du12sW8uNdeVKauz8fTQEMh7Oe7EabSfO5EPrWMEsy0EQ10633Cg4HqrnVxAhImvsHJOC&#10;CwVYLR8mCyy1G3hH531sRArhUKICE2NfShlqQxZD5nrixP04bzEm6BupPQ4p3HbyJc8LabHl1GCw&#10;p7Wh+rT/twq8j6E9VW/fw9ffb1Ftq804NbVST4/jxzuISGO8i2/uT61gXqT5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gZAPDAAAA3AAAAA8AAAAAAAAAAAAA&#10;AAAAoQIAAGRycy9kb3ducmV2LnhtbFBLBQYAAAAABAAEAPkAAACRAwAAAAA=&#10;">
                  <v:stroke endarrow="classic" endarrowwidth="narrow"/>
                </v:line>
                <v:shape id="Text Box 253" o:spid="_x0000_s1112" type="#_x0000_t202" style="position:absolute;left:10583;top:4298;width: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IvsMA&#10;AADcAAAADwAAAGRycy9kb3ducmV2LnhtbESPS6vCMBSE94L/IRzBnSY+EOk1ioiCCze+cHtozm17&#10;b3NSmqjVX28EweUwM98ws0VjS3Gj2heONQz6CgRx6kzBmYbTcdObgvAB2WDpmDQ8yMNi3m7NMDHu&#10;znu6HUImIoR9ghryEKpESp/mZNH3XUUcvV9XWwxR1pk0Nd4j3JZyqNREWiw4LuRY0Sqn9P9wtRp2&#10;l2afjdzzT63t8Tx2q1NabJTW3U6z/AERqAnf8Ke9NRpGkwG8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IvsMAAADcAAAADwAAAAAAAAAAAAAAAACYAgAAZHJzL2Rv&#10;d25yZXYueG1sUEsFBgAAAAAEAAQA9QAAAIgDAAAAAA==&#10;">
                  <v:textbox inset=".5mm,1mm,.5mm,1mm">
                    <w:txbxContent>
                      <w:p w:rsidR="004A36EF" w:rsidRDefault="004A36EF" w:rsidP="004A36EF">
                        <w:r>
                          <w:t>Втрати</w:t>
                        </w:r>
                      </w:p>
                    </w:txbxContent>
                  </v:textbox>
                </v:shape>
                <v:shape id="Text Box 254" o:spid="_x0000_s1113" type="#_x0000_t202" style="position:absolute;left:1233;top:555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WycMA&#10;AADcAAAADwAAAGRycy9kb3ducmV2LnhtbESPS6vCMBSE94L/IRzBnSY+EOk1ioiCCze+cHtozm17&#10;b3NSmqjVX28EweUwM98ws0VjS3Gj2heONQz6CgRx6kzBmYbTcdObgvAB2WDpmDQ8yMNi3m7NMDHu&#10;znu6HUImIoR9ghryEKpESp/mZNH3XUUcvV9XWwxR1pk0Nd4j3JZyqNREWiw4LuRY0Sqn9P9wtRp2&#10;l2afjdzzT63t8Tx2q1NabJTW3U6z/AERqAnf8Ke9NRpGkyG8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WycMAAADcAAAADwAAAAAAAAAAAAAAAACYAgAAZHJzL2Rv&#10;d25yZXYueG1sUEsFBgAAAAAEAAQA9QAAAIgDAAAAAA==&#10;">
                  <v:textbox inset=".5mm,1mm,.5mm,1mm">
                    <w:txbxContent>
                      <w:p w:rsidR="004A36EF" w:rsidRDefault="004A36EF" w:rsidP="004A36EF">
                        <w:r>
                          <w:t>Тп3.1.</w:t>
                        </w:r>
                      </w:p>
                      <w:p w:rsidR="004A36EF" w:rsidRDefault="004A36EF" w:rsidP="004A36EF">
                        <w:r>
                          <w:t>Кт, Кх</w:t>
                        </w:r>
                      </w:p>
                    </w:txbxContent>
                  </v:textbox>
                </v:shape>
                <v:shape id="Text Box 255" o:spid="_x0000_s1114" type="#_x0000_t202" style="position:absolute;left:2729;top:555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zUsMA&#10;AADcAAAADwAAAGRycy9kb3ducmV2LnhtbESPQYvCMBSE78L+h/CEvWmiXUSqUURW2IMXteL10Tzb&#10;avNSmqjVX28WFvY4zMw3zHzZ2VrcqfWVYw2joQJBnDtTcaEhO2wGUxA+IBusHZOGJ3lYLj56c0yN&#10;e/CO7vtQiAhhn6KGMoQmldLnJVn0Q9cQR+/sWoshyraQpsVHhNtajpWaSIsVx4USG1qXlF/3N6th&#10;e+p2ReJeF/VtD8cvt87yaqO0/ux3qxmIQF34D/+1f4yGZJLA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dzUsMAAADcAAAADwAAAAAAAAAAAAAAAACYAgAAZHJzL2Rv&#10;d25yZXYueG1sUEsFBgAAAAAEAAQA9QAAAIgDAAAAAA==&#10;">
                  <v:textbox inset=".5mm,1mm,.5mm,1mm">
                    <w:txbxContent>
                      <w:p w:rsidR="004A36EF" w:rsidRDefault="004A36EF" w:rsidP="004A36EF">
                        <w:r>
                          <w:t>Наповнення пакетів розч</w:t>
                        </w:r>
                        <w:r>
                          <w:t>и</w:t>
                        </w:r>
                        <w:r>
                          <w:t xml:space="preserve">ном </w:t>
                        </w:r>
                      </w:p>
                    </w:txbxContent>
                  </v:textbox>
                </v:shape>
                <v:shape id="Text Box 256" o:spid="_x0000_s1115" type="#_x0000_t202" style="position:absolute;left:2729;top:645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rJsMA&#10;AADcAAAADwAAAGRycy9kb3ducmV2LnhtbESPS6vCMBSE94L/IRzBnSY+EKlGEVFwcTe+cHtojm3v&#10;bU5KE7XeX28EweUwM98w82VjS3Gn2heONQz6CgRx6kzBmYbTcdubgvAB2WDpmDQ8ycNy0W7NMTHu&#10;wXu6H0ImIoR9ghryEKpESp/mZNH3XUUcvaurLYYo60yaGh8Rbks5VGoiLRYcF3KsaJ1T+ne4WQ0/&#10;l2afjdz/r9rY43ns1qe02Cqtu51mNQMRqAnf8Ke9MxpGkzG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rJsMAAADcAAAADwAAAAAAAAAAAAAAAACYAgAAZHJzL2Rv&#10;d25yZXYueG1sUEsFBgAAAAAEAAQA9QAAAIgDAAAAAA==&#10;">
                  <v:textbox inset=".5mm,1mm,.5mm,1mm">
                    <w:txbxContent>
                      <w:p w:rsidR="004A36EF" w:rsidRDefault="004A36EF" w:rsidP="004A36EF">
                        <w:r>
                          <w:t>Маркування пакетів</w:t>
                        </w:r>
                      </w:p>
                    </w:txbxContent>
                  </v:textbox>
                </v:shape>
                <v:shape id="Text Box 257" o:spid="_x0000_s1116" type="#_x0000_t202" style="position:absolute;left:1233;top:645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OvcQA&#10;AADcAAAADwAAAGRycy9kb3ducmV2LnhtbESPzYvCMBTE78L+D+EteNPEjy1L1ygiCh68+LHs9dE8&#10;22rzUpqo1b/eCAseh5n5DTOZtbYSV2p86VjDoK9AEGfOlJxrOOxXvW8QPiAbrByThjt5mE0/OhNM&#10;jbvxlq67kIsIYZ+ihiKEOpXSZwVZ9H1XE0fv6BqLIcoml6bBW4TbSg6VSqTFkuNCgTUtCsrOu4vV&#10;sPlrt/nIPU5qafe/Y7c4ZOVKad39bOc/IAK14R3+b6+NhlHyBa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Tr3EAAAA3AAAAA8AAAAAAAAAAAAAAAAAmAIAAGRycy9k&#10;b3ducmV2LnhtbFBLBQYAAAAABAAEAPUAAACJAwAAAAA=&#10;">
                  <v:textbox inset=".5mm,1mm,.5mm,1mm">
                    <w:txbxContent>
                      <w:p w:rsidR="004A36EF" w:rsidRDefault="004A36EF" w:rsidP="004A36EF">
                        <w:r>
                          <w:t>Тп3.2.</w:t>
                        </w:r>
                      </w:p>
                      <w:p w:rsidR="004A36EF" w:rsidRDefault="004A36EF" w:rsidP="004A36EF">
                        <w:r>
                          <w:t>Кт</w:t>
                        </w:r>
                      </w:p>
                    </w:txbxContent>
                  </v:textbox>
                </v:shape>
                <v:shape id="Text Box 258" o:spid="_x0000_s1117" type="#_x0000_t202" style="position:absolute;left:7030;top:5918;width:74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QysMA&#10;AADcAAAADwAAAGRycy9kb3ducmV2LnhtbESPT4vCMBTE7wt+h/AEb2viKkWqUUQUPHjxH14fzbOt&#10;Ni+lyWrdT78RBI/DzPyGmc5bW4k7Nb50rGHQVyCIM2dKzjUcD+vvMQgfkA1WjknDkzzMZ52vKabG&#10;PXhH933IRYSwT1FDEUKdSumzgiz6vquJo3dxjcUQZZNL0+Ajwm0lf5RKpMWS40KBNS0Lym77X6th&#10;e253+dD9XdXKHk4jtzxm5Vpp3eu2iwmIQG34hN/tjdEwTBJ4nY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QysMAAADcAAAADwAAAAAAAAAAAAAAAACYAgAAZHJzL2Rv&#10;d25yZXYueG1sUEsFBgAAAAAEAAQA9QAAAIgDAAAAAA==&#10;">
                  <v:textbox inset=".5mm,1mm,.5mm,1mm">
                    <w:txbxContent>
                      <w:p w:rsidR="004A36EF" w:rsidRDefault="004A36EF" w:rsidP="004A36EF">
                        <w:r>
                          <w:t>Тп3.</w:t>
                        </w:r>
                      </w:p>
                    </w:txbxContent>
                  </v:textbox>
                </v:shape>
                <v:shape id="Text Box 259" o:spid="_x0000_s1118" type="#_x0000_t202" style="position:absolute;left:7778;top:5918;width:243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1UcQA&#10;AADcAAAADwAAAGRycy9kb3ducmV2LnhtbESPS4sCMRCE74L/IbTgTRMfqMwaRUTBw1584bWZ9M7M&#10;7qQzTKKO++uNIHgsquorar5sbCluVPvCsYZBX4EgTp0pONNwOm57MxA+IBssHZOGB3lYLtqtOSbG&#10;3XlPt0PIRISwT1BDHkKVSOnTnCz6vquIo/fjaoshyjqTpsZ7hNtSDpWaSIsFx4UcK1rnlP4drlbD&#10;96XZZyP3/6s29ngeu/UpLbZK626nWX2BCNSET/jd3hkNo8k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dVHEAAAA3AAAAA8AAAAAAAAAAAAAAAAAmAIAAGRycy9k&#10;b3ducmV2LnhtbFBLBQYAAAAABAAEAPUAAACJAwAAAAA=&#10;">
                  <v:textbox inset=".5mm,1mm,.5mm,1mm">
                    <w:txbxContent>
                      <w:p w:rsidR="004A36EF" w:rsidRDefault="004A36EF" w:rsidP="004A36EF">
                        <w:r>
                          <w:t xml:space="preserve">Наповнення </w:t>
                        </w:r>
                        <w:r>
                          <w:br/>
                          <w:t>пакетів розчином та маркування</w:t>
                        </w:r>
                      </w:p>
                    </w:txbxContent>
                  </v:textbox>
                </v:shape>
                <v:line id="Line 260" o:spid="_x0000_s1119" style="position:absolute;visibility:visible;mso-wrap-style:square" from="6656,5918" to="6656,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61" o:spid="_x0000_s1120" style="position:absolute;visibility:visible;mso-wrap-style:square" from="10209,6458" to="10583,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NnsYAAADcAAAADwAAAGRycy9kb3ducmV2LnhtbESPQWsCMRSE7wX/Q3hCL0WzWlh0NYoU&#10;FjyUQm0PentsnpvVzcs2ie723zeFQo/DzHzDrLeDbcWdfGgcK5hNMxDEldMN1wo+P8rJAkSIyBpb&#10;x6TgmwJsN6OHNRba9fxO90OsRYJwKFCBibErpAyVIYth6jri5J2dtxiT9LXUHvsEt62cZ1kuLTac&#10;Fgx29GKouh5uVoH3MTTXcnnqj1+XvHwrX4cnUyn1OB52KxCRhvgf/mvvtYLnfAm/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azZ7GAAAA3AAAAA8AAAAAAAAA&#10;AAAAAAAAoQIAAGRycy9kb3ducmV2LnhtbFBLBQYAAAAABAAEAPkAAACUAwAAAAA=&#10;">
                  <v:stroke endarrow="classic" endarrowwidth="narrow"/>
                </v:line>
                <v:shape id="Text Box 262" o:spid="_x0000_s1121" type="#_x0000_t202" style="position:absolute;left:10583;top:6278;width: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7+MEA&#10;AADcAAAADwAAAGRycy9kb3ducmV2LnhtbERPy4rCMBTdC/5DuMLsNFEHlWpaRBRmMRtfuL0017ba&#10;3JQmame+frIYcHk471XW2Vo8qfWVYw3jkQJBnDtTcaHhdNwNFyB8QDZYOyYNP+QhS/u9FSbGvXhP&#10;z0MoRAxhn6CGMoQmkdLnJVn0I9cQR+7qWoshwraQpsVXDLe1nCg1kxYrjg0lNrQpKb8fHlbD96Xb&#10;F1P3e1Nbezx/us0pr3ZK649Bt16CCNSFt/jf/WU0TOdxfjwTj4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Me/jBAAAA3AAAAA8AAAAAAAAAAAAAAAAAmAIAAGRycy9kb3du&#10;cmV2LnhtbFBLBQYAAAAABAAEAPUAAACGAwAAAAA=&#10;">
                  <v:textbox inset=".5mm,1mm,.5mm,1mm">
                    <w:txbxContent>
                      <w:p w:rsidR="004A36EF" w:rsidRDefault="004A36EF" w:rsidP="004A36EF">
                        <w:r>
                          <w:t>Втрати</w:t>
                        </w:r>
                      </w:p>
                    </w:txbxContent>
                  </v:textbox>
                </v:shape>
                <v:shape id="Text Box 263" o:spid="_x0000_s1122" type="#_x0000_t202" style="position:absolute;left:1233;top:735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eY8QA&#10;AADcAAAADwAAAGRycy9kb3ducmV2LnhtbESPS4sCMRCE7wv+h9CCtzXxgcqsUUQUPHjxhddm0jsz&#10;u5POMIk6+uuNIHgsquorajpvbCmuVPvCsYZeV4EgTp0pONNwPKy/JyB8QDZYOiYNd/Iwn7W+ppgY&#10;d+MdXfchExHCPkENeQhVIqVPc7Lou64ijt6vqy2GKOtMmhpvEW5L2VdqJC0WHBdyrGiZU/q/v1gN&#10;23Ozywbu8adW9nAauuUxLdZK6067WfyACNSET/jd3hgNg3EP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3mPEAAAA3AAAAA8AAAAAAAAAAAAAAAAAmAIAAGRycy9k&#10;b3ducmV2LnhtbFBLBQYAAAAABAAEAPUAAACJAwAAAAA=&#10;">
                  <v:textbox inset=".5mm,1mm,.5mm,1mm">
                    <w:txbxContent>
                      <w:p w:rsidR="004A36EF" w:rsidRDefault="004A36EF" w:rsidP="004A36EF">
                        <w:r>
                          <w:t>ТП4.1.</w:t>
                        </w:r>
                      </w:p>
                      <w:p w:rsidR="004A36EF" w:rsidRDefault="004A36EF" w:rsidP="004A36EF">
                        <w:r>
                          <w:t>Кт,Кмк, Кп</w:t>
                        </w:r>
                      </w:p>
                    </w:txbxContent>
                  </v:textbox>
                </v:shape>
                <v:shape id="Text Box 264" o:spid="_x0000_s1123" type="#_x0000_t202" style="position:absolute;left:2729;top:735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JAFMUA&#10;AADcAAAADwAAAGRycy9kb3ducmV2LnhtbESPT2vCQBTE7wW/w/IEb3XXWFRSN0FCBQ+9+A+vj+xr&#10;kjb7NmS3mvbTdwuCx2FmfsOs88G24kq9bxxrmE0VCOLSmYYrDafj9nkFwgdkg61j0vBDHvJs9LTG&#10;1Lgb7+l6CJWIEPYpaqhD6FIpfVmTRT91HXH0PlxvMUTZV9L0eItw28pEqYW02HBcqLGjoqby6/Bt&#10;Nbxfhn01d7+f6s0ezy+uOJXNVmk9GQ+bVxCBhvAI39s7o2G+T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kAUxQAAANwAAAAPAAAAAAAAAAAAAAAAAJgCAABkcnMv&#10;ZG93bnJldi54bWxQSwUGAAAAAAQABAD1AAAAigMAAAAA&#10;">
                  <v:textbox inset=".5mm,1mm,.5mm,1mm">
                    <w:txbxContent>
                      <w:p w:rsidR="004A36EF" w:rsidRDefault="004A36EF" w:rsidP="004A36EF">
                        <w:r>
                          <w:t>Стерилізація пакетів</w:t>
                        </w:r>
                      </w:p>
                    </w:txbxContent>
                  </v:textbox>
                </v:shape>
                <v:line id="Line 265" o:spid="_x0000_s1124" style="position:absolute;visibility:visible;mso-wrap-style:square" from="6095,6818" to="6656,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266" o:spid="_x0000_s1125" style="position:absolute;visibility:visible;mso-wrap-style:square" from="6095,5918" to="6656,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line id="Line 267" o:spid="_x0000_s1126" style="position:absolute;visibility:visible;mso-wrap-style:square" from="6095,5018" to="6656,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268" o:spid="_x0000_s1127" style="position:absolute;visibility:visible;mso-wrap-style:square" from="6095,4118" to="6656,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269" o:spid="_x0000_s1128" style="position:absolute;visibility:visible;mso-wrap-style:square" from="6095,1958" to="6656,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line id="Line 270" o:spid="_x0000_s1129" style="position:absolute;visibility:visible;mso-wrap-style:square" from="6095,3038" to="665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271" o:spid="_x0000_s1130" style="position:absolute;visibility:visible;mso-wrap-style:square" from="6656,6458" to="703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bQ8YAAADcAAAADwAAAGRycy9kb3ducmV2LnhtbESPQWsCMRSE7wX/Q3hCL0WzbcHqapRS&#10;WOihCFoPentsnpvVzcs2Sd3tv28EweMwM98wi1VvG3EhH2rHCp7HGQji0umaKwW772I0BREissbG&#10;MSn4owCr5eBhgbl2HW/oso2VSBAOOSowMba5lKE0ZDGMXUucvKPzFmOSvpLaY5fgtpEvWTaRFmtO&#10;CwZb+jBUnre/VoH3MdTnYnbo9j+nSbEuvvonUyr1OOzf5yAi9fEevrU/tYLXtxlcz6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DW0PGAAAA3AAAAA8AAAAAAAAA&#10;AAAAAAAAoQIAAGRycy9kb3ducmV2LnhtbFBLBQYAAAAABAAEAPkAAACUAwAAAAA=&#10;">
                  <v:stroke endarrow="classic" endarrowwidth="narrow"/>
                </v:line>
                <v:line id="Line 272" o:spid="_x0000_s1131" style="position:absolute;visibility:visible;mso-wrap-style:square" from="6656,4658" to="7030,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C+cIAAADcAAAADwAAAGRycy9kb3ducmV2LnhtbERPz2vCMBS+D/Y/hDfwMjTVgWg1yhAK&#10;HmSg7jBvj+at6WxeuiTa+t+bg+Dx4/u9XPe2EVfyoXasYDzKQBCXTtdcKfg+FsMZiBCRNTaOScGN&#10;AqxXry9LzLXreE/XQ6xECuGQowITY5tLGUpDFsPItcSJ+3XeYkzQV1J77FK4beQky6bSYs2pwWBL&#10;G0Pl+XCxCryPoT4X81P38/83Lb6KXf9uSqUGb/3nAkSkPj7FD/dWK/iYpfn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yC+cIAAADcAAAADwAAAAAAAAAAAAAA&#10;AAChAgAAZHJzL2Rvd25yZXYueG1sUEsFBgAAAAAEAAQA+QAAAJADAAAAAA==&#10;">
                  <v:stroke endarrow="classic" endarrowwidth="narrow"/>
                </v:line>
                <v:line id="Line 273" o:spid="_x0000_s1132" style="position:absolute;visibility:visible;mso-wrap-style:square" from="6656,2498" to="7030,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nYsUAAADcAAAADwAAAGRycy9kb3ducmV2LnhtbESPQWsCMRSE7wX/Q3hCL0WzWhC7GkWE&#10;BQ9FqHqwt8fmdbN187Im0V3/fVMo9DjMzDfMct3bRtzJh9qxgsk4A0FcOl1zpeB0LEZzECEia2wc&#10;k4IHBVivBk9LzLXr+IPuh1iJBOGQowITY5tLGUpDFsPYtcTJ+3LeYkzSV1J77BLcNnKaZTNpsea0&#10;YLClraHycrhZBd7HUF+Kt8/ufP2eFfvivX8xpVLPw36zABGpj//hv/ZOK3idT+D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nYsUAAADcAAAADwAAAAAAAAAA&#10;AAAAAAChAgAAZHJzL2Rvd25yZXYueG1sUEsFBgAAAAAEAAQA+QAAAJMDAAAAAA==&#10;">
                  <v:stroke endarrow="classic" endarrowwidth="narrow"/>
                </v:line>
                <v:shape id="Text Box 274" o:spid="_x0000_s1133" type="#_x0000_t202" style="position:absolute;left:7030;top:7358;width:74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wM8UA&#10;AADcAAAADwAAAGRycy9kb3ducmV2LnhtbESPT2vCQBTE7wW/w/IEb3VXU0Siq4gY6KEX/+H1kX1N&#10;UrNvQ3abxH76bqHgcZiZ3zDr7WBr0VHrK8caZlMFgjh3puJCw+WcvS5B+IBssHZMGh7kYbsZvawx&#10;Na7nI3WnUIgIYZ+ihjKEJpXS5yVZ9FPXEEfv07UWQ5RtIU2LfYTbWs6VWkiLFceFEhval5TfT99W&#10;w8dtOBaJ+/lSB3u+vrn9Ja8ypfVkPOxWIAIN4Rn+b78bDclyD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zAzxQAAANwAAAAPAAAAAAAAAAAAAAAAAJgCAABkcnMv&#10;ZG93bnJldi54bWxQSwUGAAAAAAQABAD1AAAAigMAAAAA&#10;">
                  <v:textbox inset=".5mm,1mm,.5mm,1mm">
                    <w:txbxContent>
                      <w:p w:rsidR="004A36EF" w:rsidRDefault="004A36EF" w:rsidP="004A36EF">
                        <w:r>
                          <w:t>ТП4.</w:t>
                        </w:r>
                      </w:p>
                    </w:txbxContent>
                  </v:textbox>
                </v:shape>
                <v:shape id="Text Box 275" o:spid="_x0000_s1134" type="#_x0000_t202" style="position:absolute;left:7778;top:7358;width:243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VqMMA&#10;AADcAAAADwAAAGRycy9kb3ducmV2LnhtbESPT4vCMBTE7wt+h/AEb2uiFZFqFBEFD3vxH14fzbPt&#10;bvNSmqh1P70RBI/DzPyGmS1aW4kbNb50rGHQVyCIM2dKzjUcD5vvCQgfkA1WjknDgzws5p2vGabG&#10;3XlHt33IRYSwT1FDEUKdSumzgiz6vquJo3dxjcUQZZNL0+A9wm0lh0qNpcWS40KBNa0Kyv72V6vh&#10;59zu8sT9/6q1PZxGbnXMyo3Sutdtl1MQgdrwCb/bW6MhmST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VqMMAAADcAAAADwAAAAAAAAAAAAAAAACYAgAAZHJzL2Rv&#10;d25yZXYueG1sUEsFBgAAAAAEAAQA9QAAAIgDAAAAAA==&#10;">
                  <v:textbox inset=".5mm,1mm,.5mm,1mm">
                    <w:txbxContent>
                      <w:p w:rsidR="004A36EF" w:rsidRDefault="004A36EF" w:rsidP="004A36EF">
                        <w:r>
                          <w:t>Стерилізація пакетів з розчином</w:t>
                        </w:r>
                      </w:p>
                    </w:txbxContent>
                  </v:textbox>
                </v:shape>
                <v:shape id="Text Box 276" o:spid="_x0000_s1135" type="#_x0000_t202" style="position:absolute;left:10583;top:7538;width: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N3MMA&#10;AADcAAAADwAAAGRycy9kb3ducmV2LnhtbESPS6vCMBSE94L/IRzBnSY+uEg1ioiCCze+cHtozm17&#10;bU5KE7X6640g3OUwM98ws0VjS3Gn2heONQz6CgRx6kzBmYbTcdObgPAB2WDpmDQ8ycNi3m7NMDHu&#10;wXu6H0ImIoR9ghryEKpESp/mZNH3XUUcvV9XWwxR1pk0NT4i3JZyqNSPtFhwXMixolVO6fVwsxp2&#10;l2afjdzrT63t8Tx2q1NabJTW3U6znIII1IT/8Le9NRpGkz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IN3MMAAADcAAAADwAAAAAAAAAAAAAAAACYAgAAZHJzL2Rv&#10;d25yZXYueG1sUEsFBgAAAAAEAAQA9QAAAIgDAAAAAA==&#10;">
                  <v:textbox inset=".5mm,1mm,.5mm,1mm">
                    <w:txbxContent>
                      <w:p w:rsidR="004A36EF" w:rsidRDefault="004A36EF" w:rsidP="004A36EF">
                        <w:r>
                          <w:t>Втрати</w:t>
                        </w:r>
                      </w:p>
                    </w:txbxContent>
                  </v:textbox>
                </v:shape>
                <v:line id="Line 277" o:spid="_x0000_s1136" style="position:absolute;visibility:visible;mso-wrap-style:square" from="10209,7718" to="10583,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hYcYAAADcAAAADwAAAGRycy9kb3ducmV2LnhtbESPQWsCMRSE7wX/Q3iFXopma6noahQR&#10;FjyIUNuD3h6b52br5mWbpO7235tCweMwM98wi1VvG3ElH2rHCl5GGQji0umaKwWfH8VwCiJEZI2N&#10;Y1LwSwFWy8HDAnPtOn6n6yFWIkE45KjAxNjmUobSkMUwci1x8s7OW4xJ+kpqj12C20aOs2wiLdac&#10;Fgy2tDFUXg4/VoH3MdSXYnbqjt9fk2Jf7PpnUyr19Niv5yAi9fEe/m9vtYLX6Rv8nU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IWHGAAAA3AAAAA8AAAAAAAAA&#10;AAAAAAAAoQIAAGRycy9kb3ducmV2LnhtbFBLBQYAAAAABAAEAPkAAACUAwAAAAA=&#10;">
                  <v:stroke endarrow="classic" endarrowwidth="narrow"/>
                </v:line>
                <v:shape id="Text Box 278" o:spid="_x0000_s1137" type="#_x0000_t202" style="position:absolute;left:1233;top:8258;width:149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2MMQA&#10;AADcAAAADwAAAGRycy9kb3ducmV2LnhtbESPzYvCMBTE7wv7P4Qn7G1N/ECkmhaRFfawF7/w+mie&#10;bbV5KU3Urn+9EQSPw8z8hplnna3FlVpfOdYw6CsQxLkzFRcadtvV9xSED8gGa8ek4Z88ZOnnxxwT&#10;4268pusmFCJC2CeooQyhSaT0eUkWfd81xNE7utZiiLItpGnxFuG2lkOlJtJixXGhxIaWJeXnzcVq&#10;+Dt062Lk7if1Y7f7sVvu8mqltP7qdYsZiEBdeIdf7V+jYTSdwPNMP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NjDEAAAA3AAAAA8AAAAAAAAAAAAAAAAAmAIAAGRycy9k&#10;b3ducmV2LnhtbFBLBQYAAAAABAAEAPUAAACJAwAAAAA=&#10;">
                  <v:textbox inset=".5mm,1mm,.5mm,1mm">
                    <w:txbxContent>
                      <w:p w:rsidR="004A36EF" w:rsidRDefault="004A36EF" w:rsidP="004A36EF">
                        <w:r>
                          <w:t>ПМВ5.1.</w:t>
                        </w:r>
                      </w:p>
                      <w:p w:rsidR="004A36EF" w:rsidRDefault="004A36EF" w:rsidP="004A36EF">
                        <w:r>
                          <w:t>Кт</w:t>
                        </w:r>
                      </w:p>
                    </w:txbxContent>
                  </v:textbox>
                </v:shape>
                <v:shape id="Text Box 279" o:spid="_x0000_s1138" type="#_x0000_t202" style="position:absolute;left:2729;top:8258;width:336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Tq8QA&#10;AADcAAAADwAAAGRycy9kb3ducmV2LnhtbESPT4vCMBTE78J+h/AWvGniH3alGkVkBQ9e1C5eH82z&#10;rTYvpclq9dMbYcHjMDO/YWaL1lbiSo0vHWsY9BUI4syZknMN6WHdm4DwAdlg5Zg03MnDYv7RmWFi&#10;3I13dN2HXEQI+wQ1FCHUiZQ+K8ii77uaOHon11gMUTa5NA3eItxWcqjUl7RYclwosKZVQdll/2c1&#10;bI/tLh+5x1n92MPv2K3SrFwrrbuf7XIKIlAb3uH/9sZoGE2+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k6vEAAAA3AAAAA8AAAAAAAAAAAAAAAAAmAIAAGRycy9k&#10;b3ducmV2LnhtbFBLBQYAAAAABAAEAPUAAACJAwAAAAA=&#10;">
                  <v:textbox inset=".5mm,1mm,.5mm,1mm">
                    <w:txbxContent>
                      <w:p w:rsidR="004A36EF" w:rsidRDefault="004A36EF" w:rsidP="004A36EF">
                        <w:r>
                          <w:t>Контроль на механічні домішки та інші види браку</w:t>
                        </w:r>
                      </w:p>
                    </w:txbxContent>
                  </v:textbox>
                </v:shape>
                <v:line id="Line 280" o:spid="_x0000_s1139" style="position:absolute;visibility:visible;mso-wrap-style:square" from="6092,7718" to="7027,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O/8IAAADcAAAADwAAAGRycy9kb3ducmV2LnhtbERPz2vCMBS+D/Y/hDfwMjTVgWg1yhAK&#10;HmSg7jBvj+at6WxeuiTa+t+bg+Dx4/u9XPe2EVfyoXasYDzKQBCXTtdcKfg+FsMZiBCRNTaOScGN&#10;AqxXry9LzLXreE/XQ6xECuGQowITY5tLGUpDFsPItcSJ+3XeYkzQV1J77FK4beQky6bSYs2pwWBL&#10;G0Pl+XCxCryPoT4X81P38/83Lb6KXf9uSqUGb/3nAkSkPj7FD/dWK/iYpbXpTDo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qO/8IAAADcAAAADwAAAAAAAAAAAAAA&#10;AAChAgAAZHJzL2Rvd25yZXYueG1sUEsFBgAAAAAEAAQA+QAAAJADAAAAAA==&#10;">
                  <v:stroke endarrow="classic" endarrowwidth="narrow"/>
                </v:line>
                <v:shape id="Text Box 281" o:spid="_x0000_s1140" type="#_x0000_t202" style="position:absolute;left:2729;top:9496;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iQsQA&#10;AADcAAAADwAAAGRycy9kb3ducmV2LnhtbESPzYvCMBTE78L+D+EteNPED5Zu1ygiCh68+LHs9dE8&#10;22rzUpqo1b/eCAseh5n5DTOZtbYSV2p86VjDoK9AEGfOlJxrOOxXvQSED8gGK8ek4U4eZtOPzgRT&#10;4268pesu5CJC2KeooQihTqX0WUEWfd/VxNE7usZiiLLJpWnwFuG2kkOlvqTFkuNCgTUtCsrOu4vV&#10;sPlrt/nIPU5qafe/Y7c4ZOVKad39bOc/IAK14R3+b6+NhlHyDa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okLEAAAA3AAAAA8AAAAAAAAAAAAAAAAAmAIAAGRycy9k&#10;b3ducmV2LnhtbFBLBQYAAAAABAAEAPUAAACJAwAAAAA=&#10;">
                  <v:textbox inset=".5mm,1mm,.5mm,1mm">
                    <w:txbxContent>
                      <w:p w:rsidR="004A36EF" w:rsidRDefault="004A36EF" w:rsidP="004A36EF">
                        <w:pPr>
                          <w:rPr>
                            <w:sz w:val="26"/>
                          </w:rPr>
                        </w:pPr>
                        <w:r>
                          <w:rPr>
                            <w:sz w:val="26"/>
                          </w:rPr>
                          <w:t>Упаковка пакетів у вторинну упаковку</w:t>
                        </w:r>
                      </w:p>
                    </w:txbxContent>
                  </v:textbox>
                </v:shape>
                <v:shape id="Text Box 282" o:spid="_x0000_s1141" type="#_x0000_t202" style="position:absolute;left:1233;top:951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AsEA&#10;AADcAAAADwAAAGRycy9kb3ducmV2LnhtbERPy4rCMBTdC/5DuMLsNFEH0WpaRBRmMRtfuL0017ba&#10;3JQmame+frIYcHk471XW2Vo8qfWVYw3jkQJBnDtTcaHhdNwN5yB8QDZYOyYNP+QhS/u9FSbGvXhP&#10;z0MoRAxhn6CGMoQmkdLnJVn0I9cQR+7qWoshwraQpsVXDLe1nCg1kxYrjg0lNrQpKb8fHlbD96Xb&#10;F1P3e1Nbezx/us0pr3ZK649Bt16CCNSFt/jf/WU0TBdxfjwTj4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nQLBAAAA3AAAAA8AAAAAAAAAAAAAAAAAmAIAAGRycy9kb3du&#10;cmV2LnhtbFBLBQYAAAAABAAEAPUAAACGAwAAAAA=&#10;">
                  <v:textbox inset=".5mm,1mm,.5mm,1mm">
                    <w:txbxContent>
                      <w:p w:rsidR="004A36EF" w:rsidRDefault="004A36EF" w:rsidP="004A36EF">
                        <w:r>
                          <w:t>ПМВ5.2.</w:t>
                        </w:r>
                      </w:p>
                      <w:p w:rsidR="004A36EF" w:rsidRDefault="004A36EF" w:rsidP="004A36EF">
                        <w:r>
                          <w:t>Кт,Кх</w:t>
                        </w:r>
                      </w:p>
                    </w:txbxContent>
                  </v:textbox>
                </v:shape>
                <v:shape id="Text Box 283" o:spid="_x0000_s1142" type="#_x0000_t202" style="position:absolute;left:2729;top:10418;width:3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4mcQA&#10;AADcAAAADwAAAGRycy9kb3ducmV2LnhtbESPS4sCMRCE7wv+h9CCtzXxgeisUUQUPHjxhddm0jsz&#10;u5POMIk6+uuNIHgsquorajpvbCmuVPvCsYZeV4EgTp0pONNwPKy/xyB8QDZYOiYNd/Iwn7W+ppgY&#10;d+MdXfchExHCPkENeQhVIqVPc7Lou64ijt6vqy2GKOtMmhpvEW5L2VdqJC0WHBdyrGiZU/q/v1gN&#10;23Ozywbu8adW9nAauuUxLdZK6067WfyACNSET/jd3hgNg0kP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OJnEAAAA3AAAAA8AAAAAAAAAAAAAAAAAmAIAAGRycy9k&#10;b3ducmV2LnhtbFBLBQYAAAAABAAEAPUAAACJAwAAAAA=&#10;">
                  <v:textbox inset=".5mm,1mm,.5mm,1mm">
                    <w:txbxContent>
                      <w:p w:rsidR="004A36EF" w:rsidRDefault="004A36EF" w:rsidP="004A36EF">
                        <w:r>
                          <w:t>Упаковка у групову тару</w:t>
                        </w:r>
                      </w:p>
                    </w:txbxContent>
                  </v:textbox>
                </v:shape>
                <v:shape id="Text Box 284" o:spid="_x0000_s1143" type="#_x0000_t202" style="position:absolute;left:1233;top:10418;width:14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m7sUA&#10;AADcAAAADwAAAGRycy9kb3ducmV2LnhtbESPT2vCQBTE7wW/w/IEb3XXWERTN0FCBQ+9+A+vj+xr&#10;kjb7NmS3mvbTdwuCx2FmfsOs88G24kq9bxxrmE0VCOLSmYYrDafj9nkJwgdkg61j0vBDHvJs9LTG&#10;1Lgb7+l6CJWIEPYpaqhD6FIpfVmTRT91HXH0PlxvMUTZV9L0eItw28pEqYW02HBcqLGjoqby6/Bt&#10;Nbxfhn01d7+f6s0ezy+uOJXNVmk9GQ+bVxCBhvAI39s7o2G+Su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qbuxQAAANwAAAAPAAAAAAAAAAAAAAAAAJgCAABkcnMv&#10;ZG93bnJldi54bWxQSwUGAAAAAAQABAD1AAAAigMAAAAA&#10;">
                  <v:textbox inset=".5mm,1mm,.5mm,1mm">
                    <w:txbxContent>
                      <w:p w:rsidR="004A36EF" w:rsidRDefault="004A36EF" w:rsidP="004A36EF">
                        <w:r>
                          <w:t>ПМВ5.3. Кт</w:t>
                        </w:r>
                      </w:p>
                    </w:txbxContent>
                  </v:textbox>
                </v:shape>
                <v:line id="Line 285" o:spid="_x0000_s1144" style="position:absolute;visibility:visible;mso-wrap-style:square" from="6095,8798" to="6656,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286" o:spid="_x0000_s1145" style="position:absolute;visibility:visible;mso-wrap-style:square" from="6095,9878" to="6656,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287" o:spid="_x0000_s1146" style="position:absolute;visibility:visible;mso-wrap-style:square" from="6095,10778" to="6656,1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288" o:spid="_x0000_s1147" style="position:absolute;visibility:visible;mso-wrap-style:square" from="6656,8798" to="6656,1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line id="Line 289" o:spid="_x0000_s1148" style="position:absolute;visibility:visible;mso-wrap-style:square" from="6656,9878" to="7030,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MUMYAAADcAAAADwAAAGRycy9kb3ducmV2LnhtbESPQWsCMRSE7wX/Q3hCL0WzbcHqapRS&#10;WOihCFoPentsnpvVzcs2Sd3tv28EweMwM98wi1VvG3EhH2rHCp7HGQji0umaKwW772I0BREissbG&#10;MSn4owCr5eBhgbl2HW/oso2VSBAOOSowMba5lKE0ZDGMXUucvKPzFmOSvpLaY5fgtpEvWTaRFmtO&#10;CwZb+jBUnre/VoH3MdTnYnbo9j+nSbEuvvonUyr1OOzf5yAi9fEevrU/tYLX2Rtcz6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cjFDGAAAA3AAAAA8AAAAAAAAA&#10;AAAAAAAAoQIAAGRycy9kb3ducmV2LnhtbFBLBQYAAAAABAAEAPkAAACUAwAAAAA=&#10;">
                  <v:stroke endarrow="classic" endarrowwidth="narrow"/>
                </v:line>
                <v:shape id="Text Box 290" o:spid="_x0000_s1149" type="#_x0000_t202" style="position:absolute;left:7030;top:8978;width:9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RBMEA&#10;AADcAAAADwAAAGRycy9kb3ducmV2LnhtbERPy4rCMBTdC/5DuMLsNFEH0WpaRBRmMRtfuL0017ba&#10;3JQmame+frIYcHk471XW2Vo8qfWVYw3jkQJBnDtTcaHhdNwN5yB8QDZYOyYNP+QhS/u9FSbGvXhP&#10;z0MoRAxhn6CGMoQmkdLnJVn0I9cQR+7qWoshwraQpsVXDLe1nCg1kxYrjg0lNrQpKb8fHlbD96Xb&#10;F1P3e1Nbezx/us0pr3ZK649Bt16CCNSFt/jf/WU0TBdxbTwTj4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2kQTBAAAA3AAAAA8AAAAAAAAAAAAAAAAAmAIAAGRycy9kb3du&#10;cmV2LnhtbFBLBQYAAAAABAAEAPUAAACGAwAAAAA=&#10;">
                  <v:textbox inset=".5mm,1mm,.5mm,1mm">
                    <w:txbxContent>
                      <w:p w:rsidR="004A36EF" w:rsidRDefault="004A36EF" w:rsidP="004A36EF">
                        <w:r>
                          <w:t>ВМП5</w:t>
                        </w:r>
                      </w:p>
                    </w:txbxContent>
                  </v:textbox>
                </v:shape>
                <v:shape id="Text Box 291" o:spid="_x0000_s1150" type="#_x0000_t202" style="position:absolute;left:7965;top:8978;width:224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0n8QA&#10;AADcAAAADwAAAGRycy9kb3ducmV2LnhtbESPT4vCMBTE78J+h/AWvGniH5a1GkVkBQ9e1C5eH82z&#10;rTYvpclq9dMbYcHjMDO/YWaL1lbiSo0vHWsY9BUI4syZknMN6WHd+wbhA7LByjFpuJOHxfyjM8PE&#10;uBvv6LoPuYgQ9glqKEKoEyl9VpBF33c1cfROrrEYomxyaRq8Rbit5FCpL2mx5LhQYE2rgrLL/s9q&#10;2B7bXT5yj7P6sYffsVulWblWWnc/2+UURKA2vMP/7Y3RMJpM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NJ/EAAAA3AAAAA8AAAAAAAAAAAAAAAAAmAIAAGRycy9k&#10;b3ducmV2LnhtbFBLBQYAAAAABAAEAPUAAACJAwAAAAA=&#10;">
                  <v:textbox inset=".5mm,1mm,.5mm,1mm">
                    <w:txbxContent>
                      <w:p w:rsidR="004A36EF" w:rsidRDefault="004A36EF" w:rsidP="004A36EF">
                        <w:r>
                          <w:t>Упаковка та</w:t>
                        </w:r>
                      </w:p>
                      <w:p w:rsidR="004A36EF" w:rsidRDefault="004A36EF" w:rsidP="004A36EF">
                        <w:r>
                          <w:t>відвантаже</w:t>
                        </w:r>
                        <w:r>
                          <w:t>н</w:t>
                        </w:r>
                        <w:r>
                          <w:t>ня</w:t>
                        </w:r>
                      </w:p>
                      <w:p w:rsidR="004A36EF" w:rsidRDefault="004A36EF" w:rsidP="004A36EF">
                        <w:r>
                          <w:t>готового пр</w:t>
                        </w:r>
                        <w:r>
                          <w:t>о</w:t>
                        </w:r>
                        <w:r>
                          <w:t>дукту</w:t>
                        </w:r>
                      </w:p>
                    </w:txbxContent>
                  </v:textbox>
                </v:shape>
                <v:line id="Line 292" o:spid="_x0000_s1151" style="position:absolute;visibility:visible;mso-wrap-style:square" from="10209,9701" to="10583,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MxsMAAADcAAAADwAAAGRycy9kb3ducmV2LnhtbERPz2vCMBS+C/4P4Qm7iKYbIq6aigwK&#10;HoYwt4O7PZq3pmvzUpNou/9+OQx2/Ph+7/aj7cSdfGgcK3hcZiCIK6cbrhV8vJeLDYgQkTV2jknB&#10;DwXYF9PJDnPtBn6j+znWIoVwyFGBibHPpQyVIYth6XrixH05bzEm6GupPQ4p3HbyKcvW0mLDqcFg&#10;Ty+GqvZ8swq8j6Fpy+fP4XL9Xpen8nWcm0qph9l42IKINMZ/8Z/7qBWssjQ/nU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TMbDAAAA3AAAAA8AAAAAAAAAAAAA&#10;AAAAoQIAAGRycy9kb3ducmV2LnhtbFBLBQYAAAAABAAEAPkAAACRAwAAAAA=&#10;">
                  <v:stroke endarrow="classic" endarrowwidth="narrow"/>
                </v:line>
                <v:shape id="Text Box 293" o:spid="_x0000_s1152" type="#_x0000_t202" style="position:absolute;left:10583;top:9518;width:9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ge8UA&#10;AADcAAAADwAAAGRycy9kb3ducmV2LnhtbESPQWvCQBSE7wX/w/KE3upu2lBKdA1FKnjoJWrx+sg+&#10;k9js25Bdk7S/visIPQ4z8w2zyifbioF63zjWkCwUCOLSmYYrDcfD9ukNhA/IBlvHpOGHPOTr2cMK&#10;M+NGLmjYh0pECPsMNdQhdJmUvqzJol+4jjh6Z9dbDFH2lTQ9jhFuW/ms1Ku02HBcqLGjTU3l9/5q&#10;NXyepqJ6cb8X9WEPX6nbHMtmq7R+nE/vSxCBpvAfvrd3RkOqEr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GB7xQAAANwAAAAPAAAAAAAAAAAAAAAAAJgCAABkcnMv&#10;ZG93bnJldi54bWxQSwUGAAAAAAQABAD1AAAAigMAAAAA&#10;">
                  <v:textbox inset=".5mm,1mm,.5mm,1mm">
                    <w:txbxContent>
                      <w:p w:rsidR="004A36EF" w:rsidRDefault="004A36EF" w:rsidP="004A36EF">
                        <w:r>
                          <w:t>Втрати</w:t>
                        </w:r>
                      </w:p>
                    </w:txbxContent>
                  </v:textbox>
                </v:shape>
                <v:line id="Line 294" o:spid="_x0000_s1153" style="position:absolute;visibility:visible;mso-wrap-style:square" from="8339,10620" to="8339,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line id="Line 295" o:spid="_x0000_s1154" style="position:absolute;visibility:visible;mso-wrap-style:square" from="8339,11700" to="11144,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SscYAAADcAAAADwAAAGRycy9kb3ducmV2LnhtbESPQWsCMRSE7wX/Q3iFXopm24roahQp&#10;LPRQhKoHvT02z83Wzcs2Sd3tvzcFweMwM98wi1VvG3EhH2rHCl5GGQji0umaKwX7XTGcgggRWWPj&#10;mBT8UYDVcvCwwFy7jr/oso2VSBAOOSowMba5lKE0ZDGMXEucvJPzFmOSvpLaY5fgtpGvWTaRFmtO&#10;CwZbejdUnre/VoH3MdTnYnbsDj/fk2JTfPbPplTq6bFfz0FE6uM9fGt/aAXj7A3+z6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H0rHGAAAA3AAAAA8AAAAAAAAA&#10;AAAAAAAAoQIAAGRycy9kb3ducmV2LnhtbFBLBQYAAAAABAAEAPkAAACUAwAAAAA=&#10;">
                  <v:stroke endarrow="classic" endarrowwidth="narrow"/>
                </v:line>
              </v:group>
            </w:pict>
          </mc:Fallback>
        </mc:AlternateContent>
      </w:r>
    </w:p>
    <w:p w:rsidR="004A36EF" w:rsidRDefault="004A36EF" w:rsidP="004A36EF">
      <w:pPr>
        <w:pStyle w:val="afffffffffffffffffffc"/>
        <w:ind w:left="0" w:right="6" w:firstLine="567"/>
        <w:rPr>
          <w:sz w:val="24"/>
        </w:rPr>
      </w:pPr>
    </w:p>
    <w:p w:rsidR="004A36EF" w:rsidRDefault="004A36EF" w:rsidP="004A36EF">
      <w:pPr>
        <w:pStyle w:val="afffffffffffffffffffc"/>
        <w:ind w:left="1797" w:right="2523" w:hanging="1230"/>
        <w:rPr>
          <w:sz w:val="24"/>
        </w:rPr>
      </w:pPr>
    </w:p>
    <w:p w:rsidR="004A36EF" w:rsidRDefault="004A36EF" w:rsidP="004A36EF">
      <w:pPr>
        <w:widowControl w:val="0"/>
        <w:spacing w:line="360" w:lineRule="auto"/>
        <w:ind w:firstLine="567"/>
        <w:jc w:val="both"/>
        <w:rPr>
          <w:b/>
          <w:bCs/>
          <w:lang w:val="uk-UA"/>
        </w:rPr>
      </w:pPr>
    </w:p>
    <w:p w:rsidR="004A36EF" w:rsidRDefault="004A36EF" w:rsidP="004A36EF">
      <w:pPr>
        <w:widowControl w:val="0"/>
        <w:spacing w:line="360" w:lineRule="auto"/>
        <w:ind w:firstLine="567"/>
        <w:jc w:val="both"/>
        <w:rPr>
          <w:b/>
          <w:bCs/>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lang w:val="uk-UA"/>
        </w:rPr>
      </w:pPr>
    </w:p>
    <w:p w:rsidR="004A36EF" w:rsidRDefault="004A36EF" w:rsidP="004A36EF">
      <w:pPr>
        <w:widowControl w:val="0"/>
        <w:ind w:firstLine="567"/>
        <w:jc w:val="both"/>
        <w:rPr>
          <w:lang w:val="uk-UA"/>
        </w:rPr>
      </w:pPr>
    </w:p>
    <w:p w:rsidR="004A36EF" w:rsidRDefault="004A36EF" w:rsidP="004A36EF">
      <w:pPr>
        <w:widowControl w:val="0"/>
        <w:ind w:firstLine="567"/>
        <w:jc w:val="both"/>
        <w:rPr>
          <w:lang w:val="uk-UA"/>
        </w:rPr>
      </w:pPr>
      <w:r>
        <w:rPr>
          <w:noProof/>
          <w:lang w:eastAsia="ru-RU"/>
        </w:rPr>
        <mc:AlternateContent>
          <mc:Choice Requires="wps">
            <w:drawing>
              <wp:anchor distT="0" distB="0" distL="114300" distR="114300" simplePos="0" relativeHeight="251661312" behindDoc="1" locked="0" layoutInCell="1" allowOverlap="1">
                <wp:simplePos x="0" y="0"/>
                <wp:positionH relativeFrom="column">
                  <wp:posOffset>4575810</wp:posOffset>
                </wp:positionH>
                <wp:positionV relativeFrom="paragraph">
                  <wp:posOffset>19050</wp:posOffset>
                </wp:positionV>
                <wp:extent cx="1291590" cy="342900"/>
                <wp:effectExtent l="0" t="1270" r="3810" b="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6EF" w:rsidRDefault="004A36EF" w:rsidP="004A36EF">
                            <w:pPr>
                              <w:widowControl w:val="0"/>
                              <w:tabs>
                                <w:tab w:val="left" w:pos="7800"/>
                              </w:tabs>
                              <w:spacing w:line="360" w:lineRule="auto"/>
                              <w:jc w:val="both"/>
                              <w:rPr>
                                <w:lang w:val="uk-UA"/>
                              </w:rPr>
                            </w:pPr>
                            <w:r>
                              <w:rPr>
                                <w:lang w:val="uk-UA"/>
                              </w:rPr>
                              <w:t>Готовий пр</w:t>
                            </w:r>
                            <w:r>
                              <w:rPr>
                                <w:lang w:val="uk-UA"/>
                              </w:rPr>
                              <w:t>о</w:t>
                            </w:r>
                            <w:r>
                              <w:rPr>
                                <w:lang w:val="uk-UA"/>
                              </w:rPr>
                              <w:t>дукт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4" o:spid="_x0000_s1155" type="#_x0000_t202" style="position:absolute;left:0;text-align:left;margin-left:360.3pt;margin-top:1.5pt;width:101.7pt;height:27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ekwIAABkFAAAOAAAAZHJzL2Uyb0RvYy54bWysVNuO0zAQfUfiHyy/d3NZd9tEm672QhHS&#10;cpEWPsC1ncYisS3b22RBfAtfwRMS39BPYuy0pSwgIUQeHNszPp6Zc8bnF0PXoo2wTmpV4ewkxUgo&#10;prlU6wq/e7uczDFynipOW61EhR+EwxeLp0/Oe1OKXDe65cIiAFGu7E2FG+9NmSSONaKj7kQbocBY&#10;a9tRD0u7TrilPaB3bZKn6VnSa8uN1Uw4B7s3oxEvIn5dC+Zf17UTHrUVhth8HG0cV2FMFue0XFtq&#10;Gsl2YdB/iKKjUsGlB6gb6im6t/IXqE4yq52u/QnTXaLrWjIRc4BssvRRNncNNSLmAsVx5lAm9/9g&#10;2avNG4skr/ApIRgp2gFJ28/bb9uv2y8o7EGFeuNKcLwz4OqHKz0A0zFbZ241e++Q0tcNVWtxaa3u&#10;G0E5RJiFk8nR0RHHBZBV/1JzuIjeex2Bhtp2oXxQEATowNTDgR0xeMTClXmRTQswMbCdkrxII30J&#10;LfenjXX+udAdCpMKW2A/otPNrfMhGlruXcJlTreSL2XbxoVdr65bizYUlLKMX0zgkVurgrPS4diI&#10;OO5AkHBHsIVwI/Mfiywn6VVeTJZn89mELMl0UszS+STNiqviLCUFuVl+CgFmpGwk50LdSiX2KszI&#10;37G864dRP1GHqK9wMc2nI0V/TDKN3++S7KSHpmxlV+H5wYmWgdhnikPatPRUtuM8+Tn8WGWowf4f&#10;qxJlEJgfNeCH1RA1N8v38lpp/gDCsBp4A4rhRYFJo+0HjHrozgoreD4wal8okFaRERKaOS7IdJbD&#10;wh5bVscWqhgAVdhjNE6v/fgA3Bsr1w3cM4pZ6UuQYy2jUoJux5h2Iob+iynt3orQ4Mfr6PXjRVt8&#10;BwAA//8DAFBLAwQUAAYACAAAACEAXc6Ph94AAAAIAQAADwAAAGRycy9kb3ducmV2LnhtbEyPwU7D&#10;MBBE70j8g7VI3KhNIG1J41QVqKeqB0olrq69jSNiO8Rua/6e5URvO5rR7Jt6mV3PzjjGLngJjxMB&#10;DL0OpvOthP3H+mEOLCbljeqDRwk/GGHZ3N7UqjLh4t/xvEstoxIfKyXBpjRUnEdt0ak4CQN68o5h&#10;dCqRHFtuRnWhctfzQogpd6rz9MGqAV8t6q/dyUn4xrft6rPca73O5WarrdnMs5Hy/i6vFsAS5vQf&#10;hj98QoeGmA7h5E1kvYRZIaYUlfBEk8h/KZ7pOEgoZwJ4U/PrAc0vAAAA//8DAFBLAQItABQABgAI&#10;AAAAIQC2gziS/gAAAOEBAAATAAAAAAAAAAAAAAAAAAAAAABbQ29udGVudF9UeXBlc10ueG1sUEsB&#10;Ai0AFAAGAAgAAAAhADj9If/WAAAAlAEAAAsAAAAAAAAAAAAAAAAALwEAAF9yZWxzLy5yZWxzUEsB&#10;Ai0AFAAGAAgAAAAhAH5e7B6TAgAAGQUAAA4AAAAAAAAAAAAAAAAALgIAAGRycy9lMm9Eb2MueG1s&#10;UEsBAi0AFAAGAAgAAAAhAF3Oj4feAAAACAEAAA8AAAAAAAAAAAAAAAAA7QQAAGRycy9kb3ducmV2&#10;LnhtbFBLBQYAAAAABAAEAPMAAAD4BQAAAAA=&#10;" stroked="f">
                <v:textbox>
                  <w:txbxContent>
                    <w:p w:rsidR="004A36EF" w:rsidRDefault="004A36EF" w:rsidP="004A36EF">
                      <w:pPr>
                        <w:widowControl w:val="0"/>
                        <w:tabs>
                          <w:tab w:val="left" w:pos="7800"/>
                        </w:tabs>
                        <w:spacing w:line="360" w:lineRule="auto"/>
                        <w:jc w:val="both"/>
                        <w:rPr>
                          <w:lang w:val="uk-UA"/>
                        </w:rPr>
                      </w:pPr>
                      <w:r>
                        <w:rPr>
                          <w:lang w:val="uk-UA"/>
                        </w:rPr>
                        <w:t>Готовий пр</w:t>
                      </w:r>
                      <w:r>
                        <w:rPr>
                          <w:lang w:val="uk-UA"/>
                        </w:rPr>
                        <w:t>о</w:t>
                      </w:r>
                      <w:r>
                        <w:rPr>
                          <w:lang w:val="uk-UA"/>
                        </w:rPr>
                        <w:t>дукт</w:t>
                      </w:r>
                    </w:p>
                  </w:txbxContent>
                </v:textbox>
              </v:shape>
            </w:pict>
          </mc:Fallback>
        </mc:AlternateContent>
      </w:r>
    </w:p>
    <w:p w:rsidR="004A36EF" w:rsidRDefault="004A36EF" w:rsidP="004A36EF">
      <w:pPr>
        <w:widowControl w:val="0"/>
        <w:tabs>
          <w:tab w:val="left" w:pos="7320"/>
        </w:tabs>
        <w:spacing w:line="360" w:lineRule="auto"/>
        <w:ind w:left="1014" w:firstLine="567"/>
        <w:jc w:val="both"/>
        <w:rPr>
          <w:lang w:val="uk-UA"/>
        </w:rPr>
      </w:pPr>
    </w:p>
    <w:p w:rsidR="004A36EF" w:rsidRDefault="004A36EF" w:rsidP="004A36EF">
      <w:pPr>
        <w:widowControl w:val="0"/>
        <w:tabs>
          <w:tab w:val="left" w:pos="7320"/>
        </w:tabs>
        <w:spacing w:line="360" w:lineRule="auto"/>
        <w:ind w:left="1014" w:firstLine="567"/>
        <w:jc w:val="both"/>
        <w:rPr>
          <w:lang w:val="uk-UA"/>
        </w:rPr>
      </w:pPr>
    </w:p>
    <w:p w:rsidR="004A36EF" w:rsidRDefault="004A36EF" w:rsidP="004A36EF">
      <w:pPr>
        <w:pStyle w:val="24"/>
        <w:widowControl w:val="0"/>
        <w:tabs>
          <w:tab w:val="left" w:pos="7320"/>
        </w:tabs>
      </w:pPr>
      <w:r>
        <w:t>Рис. 9. Технологічна схема виробництва розчину “Трисіль” для ін’єкцій по 500 мл в пакетах із полівінілхлориду.</w:t>
      </w:r>
    </w:p>
    <w:p w:rsidR="004A36EF" w:rsidRDefault="004A36EF" w:rsidP="004A36EF">
      <w:pPr>
        <w:pStyle w:val="afffffff8"/>
        <w:ind w:firstLine="567"/>
        <w:jc w:val="both"/>
        <w:rPr>
          <w:color w:val="000000"/>
        </w:rPr>
      </w:pPr>
    </w:p>
    <w:p w:rsidR="004A36EF" w:rsidRDefault="004A36EF" w:rsidP="004A36EF">
      <w:pPr>
        <w:pStyle w:val="20"/>
        <w:keepNext w:val="0"/>
        <w:jc w:val="right"/>
        <w:rPr>
          <w:sz w:val="24"/>
          <w:szCs w:val="24"/>
        </w:rPr>
      </w:pPr>
      <w:r>
        <w:rPr>
          <w:sz w:val="24"/>
          <w:szCs w:val="24"/>
        </w:rPr>
        <w:t>Таблиця 7</w:t>
      </w:r>
    </w:p>
    <w:p w:rsidR="004A36EF" w:rsidRDefault="004A36EF" w:rsidP="004A36EF">
      <w:pPr>
        <w:widowControl w:val="0"/>
        <w:spacing w:line="360" w:lineRule="auto"/>
        <w:jc w:val="center"/>
        <w:rPr>
          <w:lang w:val="uk-UA"/>
        </w:rPr>
      </w:pPr>
      <w:r>
        <w:rPr>
          <w:lang w:val="uk-UA"/>
        </w:rPr>
        <w:t>Показники якості інфузійних розчинів “Реополіглюкін” і “Трисіль”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3013"/>
        <w:gridCol w:w="3357"/>
        <w:gridCol w:w="3355"/>
      </w:tblGrid>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80" w:after="80"/>
              <w:jc w:val="center"/>
              <w:rPr>
                <w:lang w:val="uk-UA"/>
              </w:rPr>
            </w:pPr>
            <w:r>
              <w:rPr>
                <w:lang w:val="uk-UA"/>
              </w:rPr>
              <w:t>№ п/п</w:t>
            </w:r>
          </w:p>
        </w:tc>
        <w:tc>
          <w:tcPr>
            <w:tcW w:w="3013"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pStyle w:val="1"/>
              <w:keepNext w:val="0"/>
              <w:widowControl w:val="0"/>
              <w:spacing w:before="80" w:after="80"/>
              <w:jc w:val="center"/>
            </w:pPr>
            <w:r>
              <w:t>Показники</w:t>
            </w:r>
          </w:p>
        </w:tc>
        <w:tc>
          <w:tcPr>
            <w:tcW w:w="3357"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80" w:after="80"/>
              <w:jc w:val="center"/>
              <w:rPr>
                <w:lang w:val="uk-UA"/>
              </w:rPr>
            </w:pPr>
            <w:r>
              <w:rPr>
                <w:lang w:val="uk-UA"/>
              </w:rPr>
              <w:t>“Реополіглюкін”</w:t>
            </w:r>
          </w:p>
        </w:tc>
        <w:tc>
          <w:tcPr>
            <w:tcW w:w="3355" w:type="dxa"/>
            <w:tcBorders>
              <w:top w:val="single" w:sz="4" w:space="0" w:color="auto"/>
              <w:left w:val="single" w:sz="4" w:space="0" w:color="auto"/>
              <w:bottom w:val="single" w:sz="4" w:space="0" w:color="auto"/>
              <w:right w:val="single" w:sz="4" w:space="0" w:color="auto"/>
            </w:tcBorders>
            <w:vAlign w:val="center"/>
          </w:tcPr>
          <w:p w:rsidR="004A36EF" w:rsidRDefault="004A36EF" w:rsidP="007561D1">
            <w:pPr>
              <w:widowControl w:val="0"/>
              <w:spacing w:before="80" w:after="80"/>
              <w:jc w:val="center"/>
              <w:rPr>
                <w:lang w:val="uk-UA"/>
              </w:rPr>
            </w:pPr>
            <w:r>
              <w:rPr>
                <w:lang w:val="uk-UA"/>
              </w:rPr>
              <w:t>“Трисіль”</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1.</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Опис</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Безбарвна прозора рідина</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Безбарвна прозора рідина</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2.</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jc w:val="center"/>
              <w:rPr>
                <w:lang w:val="en-US"/>
              </w:rPr>
            </w:pPr>
            <w:r>
              <w:rPr>
                <w:lang w:val="uk-UA"/>
              </w:rPr>
              <w:t>Тотожність</w:t>
            </w:r>
          </w:p>
          <w:p w:rsidR="004A36EF" w:rsidRDefault="004A36EF" w:rsidP="007561D1">
            <w:pPr>
              <w:widowControl w:val="0"/>
              <w:spacing w:after="80"/>
              <w:rPr>
                <w:lang w:val="uk-UA"/>
              </w:rPr>
            </w:pPr>
            <w:r>
              <w:rPr>
                <w:lang w:val="uk-UA"/>
              </w:rPr>
              <w:t>– натрій</w:t>
            </w:r>
            <w:r>
              <w:rPr>
                <w:lang w:val="uk-UA"/>
              </w:rPr>
              <w:br/>
              <w:t>– хлориди</w:t>
            </w:r>
            <w:r>
              <w:rPr>
                <w:lang w:val="uk-UA"/>
              </w:rPr>
              <w:br/>
              <w:t>– гідрокарбонати</w:t>
            </w:r>
            <w:r>
              <w:rPr>
                <w:lang w:val="uk-UA"/>
              </w:rPr>
              <w:br/>
              <w:t>– калій</w:t>
            </w:r>
            <w:r>
              <w:rPr>
                <w:lang w:val="uk-UA"/>
              </w:rPr>
              <w:br/>
              <w:t>– цукри</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Препарат дає характерні ре</w:t>
            </w:r>
            <w:r>
              <w:rPr>
                <w:lang w:val="uk-UA"/>
              </w:rPr>
              <w:t>а</w:t>
            </w:r>
            <w:r>
              <w:rPr>
                <w:lang w:val="uk-UA"/>
              </w:rPr>
              <w:t>кції на натрій, хлориди, цукри</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Препарат дає характерні реакції на натрій, гідрокарбон</w:t>
            </w:r>
            <w:r>
              <w:rPr>
                <w:lang w:val="uk-UA"/>
              </w:rPr>
              <w:t>а</w:t>
            </w:r>
            <w:r>
              <w:rPr>
                <w:lang w:val="uk-UA"/>
              </w:rPr>
              <w:t>ти, калій, хлориди</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3.</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Відносна в’язкість, од.</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4,90±0,10</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4.</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Прозорість</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Прозорий</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Прозорий</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5.</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Кольоровість</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Безколірний</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Безколірний</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6.</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рН</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5,40±0,02</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8,40±0,04</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7.</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Механічні домішки</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8.</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jc w:val="center"/>
              <w:rPr>
                <w:lang w:val="en-US"/>
              </w:rPr>
            </w:pPr>
            <w:r>
              <w:rPr>
                <w:lang w:val="uk-UA"/>
              </w:rPr>
              <w:t>Важкі метали</w:t>
            </w:r>
          </w:p>
          <w:p w:rsidR="004A36EF" w:rsidRDefault="004A36EF" w:rsidP="007561D1">
            <w:pPr>
              <w:widowControl w:val="0"/>
              <w:spacing w:after="80"/>
              <w:rPr>
                <w:lang w:val="uk-UA"/>
              </w:rPr>
            </w:pPr>
            <w:r>
              <w:rPr>
                <w:lang w:val="uk-UA"/>
              </w:rPr>
              <w:t>– залізо</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витримує випробування згі</w:t>
            </w:r>
            <w:r>
              <w:rPr>
                <w:lang w:val="uk-UA"/>
              </w:rPr>
              <w:t>д</w:t>
            </w:r>
            <w:r>
              <w:rPr>
                <w:lang w:val="uk-UA"/>
              </w:rPr>
              <w:t>но вимог ДФУ</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витримує випробування згі</w:t>
            </w:r>
            <w:r>
              <w:rPr>
                <w:lang w:val="uk-UA"/>
              </w:rPr>
              <w:t>д</w:t>
            </w:r>
            <w:r>
              <w:rPr>
                <w:lang w:val="uk-UA"/>
              </w:rPr>
              <w:t>но вимог ДФУ</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9.</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Стерильність</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10.</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Пірогенність</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відповідає вимогам ДФУ</w:t>
            </w:r>
          </w:p>
        </w:tc>
      </w:tr>
      <w:tr w:rsidR="004A36EF" w:rsidTr="007561D1">
        <w:tblPrEx>
          <w:tblCellMar>
            <w:top w:w="0" w:type="dxa"/>
            <w:bottom w:w="0" w:type="dxa"/>
          </w:tblCellMar>
        </w:tblPrEx>
        <w:trPr>
          <w:jc w:val="center"/>
        </w:trPr>
        <w:tc>
          <w:tcPr>
            <w:tcW w:w="536"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t>11.</w:t>
            </w:r>
          </w:p>
        </w:tc>
        <w:tc>
          <w:tcPr>
            <w:tcW w:w="3013"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rPr>
                <w:lang w:val="uk-UA"/>
              </w:rPr>
            </w:pPr>
            <w:r>
              <w:t>Кількісне визначення:</w:t>
            </w:r>
            <w:r>
              <w:br/>
            </w:r>
            <w:r>
              <w:rPr>
                <w:lang w:val="uk-UA"/>
              </w:rPr>
              <w:t>– декстран 40, г/мл</w:t>
            </w:r>
            <w:r>
              <w:rPr>
                <w:lang w:val="en-US"/>
              </w:rPr>
              <w:br/>
            </w:r>
            <w:r>
              <w:rPr>
                <w:lang w:val="uk-UA"/>
              </w:rPr>
              <w:t>– натрію хлорид, г/мл</w:t>
            </w:r>
            <w:r>
              <w:rPr>
                <w:lang w:val="uk-UA"/>
              </w:rPr>
              <w:br/>
              <w:t>– г</w:t>
            </w:r>
            <w:r>
              <w:rPr>
                <w:spacing w:val="-10"/>
                <w:lang w:val="uk-UA"/>
              </w:rPr>
              <w:t>ідрокарбонат-іон, мг/мл</w:t>
            </w:r>
            <w:r>
              <w:rPr>
                <w:lang w:val="uk-UA"/>
              </w:rPr>
              <w:br/>
              <w:t>– калій-іон</w:t>
            </w:r>
            <w:r>
              <w:rPr>
                <w:spacing w:val="-10"/>
                <w:lang w:val="uk-UA"/>
              </w:rPr>
              <w:t>, мг/мл</w:t>
            </w:r>
            <w:r>
              <w:rPr>
                <w:lang w:val="uk-UA"/>
              </w:rPr>
              <w:br/>
              <w:t>– хлорид-іон</w:t>
            </w:r>
            <w:r>
              <w:rPr>
                <w:spacing w:val="-10"/>
                <w:lang w:val="uk-UA"/>
              </w:rPr>
              <w:t>, мг/мл</w:t>
            </w:r>
            <w:r>
              <w:rPr>
                <w:lang w:val="uk-UA"/>
              </w:rPr>
              <w:br/>
              <w:t>– натрій-іон</w:t>
            </w:r>
            <w:r>
              <w:rPr>
                <w:spacing w:val="-10"/>
                <w:lang w:val="uk-UA"/>
              </w:rPr>
              <w:t>, мг/мл</w:t>
            </w:r>
          </w:p>
        </w:tc>
        <w:tc>
          <w:tcPr>
            <w:tcW w:w="3357" w:type="dxa"/>
            <w:tcBorders>
              <w:top w:val="single" w:sz="4" w:space="0" w:color="auto"/>
              <w:left w:val="single" w:sz="4" w:space="0" w:color="auto"/>
              <w:bottom w:val="single" w:sz="4" w:space="0" w:color="auto"/>
              <w:right w:val="single" w:sz="4" w:space="0" w:color="auto"/>
            </w:tcBorders>
          </w:tcPr>
          <w:p w:rsidR="004A36EF" w:rsidRDefault="004A36EF" w:rsidP="007561D1">
            <w:pPr>
              <w:pStyle w:val="2ffff8"/>
              <w:spacing w:after="0"/>
            </w:pPr>
            <w:r>
              <w:br/>
              <w:t>0,0958±0,0002</w:t>
            </w:r>
          </w:p>
          <w:p w:rsidR="004A36EF" w:rsidRDefault="004A36EF" w:rsidP="007561D1">
            <w:pPr>
              <w:widowControl w:val="0"/>
              <w:spacing w:after="80"/>
              <w:jc w:val="center"/>
              <w:rPr>
                <w:lang w:val="uk-UA"/>
              </w:rPr>
            </w:pPr>
            <w:r>
              <w:rPr>
                <w:lang w:val="uk-UA"/>
              </w:rPr>
              <w:t>0,0095±0,0003</w:t>
            </w:r>
          </w:p>
        </w:tc>
        <w:tc>
          <w:tcPr>
            <w:tcW w:w="3355" w:type="dxa"/>
            <w:tcBorders>
              <w:top w:val="single" w:sz="4" w:space="0" w:color="auto"/>
              <w:left w:val="single" w:sz="4" w:space="0" w:color="auto"/>
              <w:bottom w:val="single" w:sz="4" w:space="0" w:color="auto"/>
              <w:right w:val="single" w:sz="4" w:space="0" w:color="auto"/>
            </w:tcBorders>
          </w:tcPr>
          <w:p w:rsidR="004A36EF" w:rsidRDefault="004A36EF" w:rsidP="007561D1">
            <w:pPr>
              <w:widowControl w:val="0"/>
              <w:spacing w:before="80" w:after="80"/>
              <w:jc w:val="center"/>
              <w:rPr>
                <w:lang w:val="uk-UA"/>
              </w:rPr>
            </w:pPr>
            <w:r>
              <w:rPr>
                <w:lang w:val="uk-UA"/>
              </w:rPr>
              <w:br/>
            </w:r>
          </w:p>
          <w:p w:rsidR="004A36EF" w:rsidRDefault="004A36EF" w:rsidP="007561D1">
            <w:pPr>
              <w:widowControl w:val="0"/>
              <w:spacing w:before="240" w:after="80"/>
              <w:jc w:val="center"/>
              <w:rPr>
                <w:lang w:val="uk-UA"/>
              </w:rPr>
            </w:pPr>
            <w:r>
              <w:rPr>
                <w:lang w:val="uk-UA"/>
              </w:rPr>
              <w:t>2,934±0,001</w:t>
            </w:r>
            <w:r>
              <w:rPr>
                <w:lang w:val="uk-UA"/>
              </w:rPr>
              <w:br/>
              <w:t>0,505±0,001</w:t>
            </w:r>
            <w:r>
              <w:rPr>
                <w:lang w:val="uk-UA"/>
              </w:rPr>
              <w:br/>
              <w:t>3,200±0,012</w:t>
            </w:r>
            <w:r>
              <w:rPr>
                <w:lang w:val="uk-UA"/>
              </w:rPr>
              <w:br/>
              <w:t>3,020±0,010</w:t>
            </w:r>
          </w:p>
        </w:tc>
      </w:tr>
    </w:tbl>
    <w:p w:rsidR="004A36EF" w:rsidRDefault="004A36EF" w:rsidP="004A36EF">
      <w:pPr>
        <w:widowControl w:val="0"/>
        <w:spacing w:line="360" w:lineRule="auto"/>
        <w:jc w:val="both"/>
        <w:rPr>
          <w:lang w:val="uk-UA"/>
        </w:rPr>
      </w:pPr>
    </w:p>
    <w:p w:rsidR="004A36EF" w:rsidRDefault="004A36EF" w:rsidP="004A36EF">
      <w:pPr>
        <w:pStyle w:val="afffffff5"/>
      </w:pPr>
      <w:r>
        <w:t>ЗАГАЛЬНІ ВИСНОВКИ</w:t>
      </w:r>
    </w:p>
    <w:p w:rsidR="004A36EF" w:rsidRDefault="004A36EF" w:rsidP="004A36EF">
      <w:pPr>
        <w:widowControl w:val="0"/>
        <w:spacing w:line="360" w:lineRule="auto"/>
        <w:ind w:firstLine="567"/>
        <w:jc w:val="both"/>
        <w:rPr>
          <w:lang w:val="uk-UA"/>
        </w:rPr>
      </w:pPr>
      <w:r>
        <w:rPr>
          <w:b/>
          <w:bCs/>
          <w:lang w:val="uk-UA"/>
        </w:rPr>
        <w:t>1.</w:t>
      </w:r>
      <w:r>
        <w:rPr>
          <w:lang w:val="uk-UA"/>
        </w:rPr>
        <w:t xml:space="preserve"> Вперше встановлено, що в системі лікарського забезпечення пільгового контингенту нас</w:t>
      </w:r>
      <w:r>
        <w:rPr>
          <w:lang w:val="uk-UA"/>
        </w:rPr>
        <w:t>е</w:t>
      </w:r>
      <w:r>
        <w:rPr>
          <w:lang w:val="uk-UA"/>
        </w:rPr>
        <w:t>лення важливе значення мають організаційно-економічні заходи, серед яких створення чіткої си</w:t>
      </w:r>
      <w:r>
        <w:rPr>
          <w:lang w:val="uk-UA"/>
        </w:rPr>
        <w:t>с</w:t>
      </w:r>
      <w:r>
        <w:rPr>
          <w:lang w:val="uk-UA"/>
        </w:rPr>
        <w:t>теми державного та регіонального фінансування витрат на підставі використання стандартів лік</w:t>
      </w:r>
      <w:r>
        <w:rPr>
          <w:lang w:val="uk-UA"/>
        </w:rPr>
        <w:t>у</w:t>
      </w:r>
      <w:r>
        <w:rPr>
          <w:lang w:val="uk-UA"/>
        </w:rPr>
        <w:t>вання, стандартів лікарського забезпечення чи використання формулярної системи; застосування ефективних та безпечних лікарських засобів вітчизняного виробництва, що дозволить економніше використовувати бюджетні та регіональні кошти за рахунок більш доступних цін на них.</w:t>
      </w:r>
    </w:p>
    <w:p w:rsidR="004A36EF" w:rsidRDefault="004A36EF" w:rsidP="004A36EF">
      <w:pPr>
        <w:pStyle w:val="24"/>
        <w:widowControl w:val="0"/>
      </w:pPr>
      <w:r>
        <w:t xml:space="preserve">Заслуговує уваги певний досвід використання вказаних підходів, а також </w:t>
      </w:r>
      <w:r>
        <w:lastRenderedPageBreak/>
        <w:t>систем відшкод</w:t>
      </w:r>
      <w:r>
        <w:t>у</w:t>
      </w:r>
      <w:r>
        <w:t>вання витрат на придбання лікарських засобів через державні та приватні страхові компанії в і</w:t>
      </w:r>
      <w:r>
        <w:t>н</w:t>
      </w:r>
      <w:r>
        <w:t>ших країнах світу.</w:t>
      </w:r>
    </w:p>
    <w:p w:rsidR="004A36EF" w:rsidRDefault="004A36EF" w:rsidP="004A36EF">
      <w:pPr>
        <w:widowControl w:val="0"/>
        <w:spacing w:line="360" w:lineRule="auto"/>
        <w:ind w:firstLine="567"/>
        <w:jc w:val="both"/>
        <w:rPr>
          <w:lang w:val="uk-UA"/>
        </w:rPr>
      </w:pPr>
      <w:r>
        <w:rPr>
          <w:b/>
          <w:bCs/>
          <w:lang w:val="uk-UA"/>
        </w:rPr>
        <w:t>2.</w:t>
      </w:r>
      <w:r>
        <w:rPr>
          <w:lang w:val="uk-UA"/>
        </w:rPr>
        <w:t xml:space="preserve"> Обґрунтовані методологічні напрямки удосконалення лікарського забезпечення пільгових категорій населення промислових регі</w:t>
      </w:r>
      <w:r>
        <w:rPr>
          <w:lang w:val="uk-UA"/>
        </w:rPr>
        <w:t>о</w:t>
      </w:r>
      <w:r>
        <w:rPr>
          <w:lang w:val="uk-UA"/>
        </w:rPr>
        <w:t>нів, підґрунтям яких стало діюче законодавство України, об’єкти дослідження та використання сучасних наукових методів. Побудована програма пров</w:t>
      </w:r>
      <w:r>
        <w:rPr>
          <w:lang w:val="uk-UA"/>
        </w:rPr>
        <w:t>е</w:t>
      </w:r>
      <w:r>
        <w:rPr>
          <w:lang w:val="uk-UA"/>
        </w:rPr>
        <w:t>дення експериментальних досліджень, яка базувалась на послідовному вирішенні низки поставл</w:t>
      </w:r>
      <w:r>
        <w:rPr>
          <w:lang w:val="uk-UA"/>
        </w:rPr>
        <w:t>е</w:t>
      </w:r>
      <w:r>
        <w:rPr>
          <w:lang w:val="uk-UA"/>
        </w:rPr>
        <w:t>них завдань, головним серед яких було створення стандартизованих варіантів лікарського забезп</w:t>
      </w:r>
      <w:r>
        <w:rPr>
          <w:lang w:val="uk-UA"/>
        </w:rPr>
        <w:t>е</w:t>
      </w:r>
      <w:r>
        <w:rPr>
          <w:lang w:val="uk-UA"/>
        </w:rPr>
        <w:t>чення та технологічних регламентів регіонального виробництва інф</w:t>
      </w:r>
      <w:r>
        <w:rPr>
          <w:lang w:val="uk-UA"/>
        </w:rPr>
        <w:t>у</w:t>
      </w:r>
      <w:r>
        <w:rPr>
          <w:lang w:val="uk-UA"/>
        </w:rPr>
        <w:t>зійних розчинів.</w:t>
      </w:r>
    </w:p>
    <w:p w:rsidR="004A36EF" w:rsidRDefault="004A36EF" w:rsidP="004A36EF">
      <w:pPr>
        <w:widowControl w:val="0"/>
        <w:spacing w:line="360" w:lineRule="auto"/>
        <w:ind w:firstLine="567"/>
        <w:jc w:val="both"/>
        <w:rPr>
          <w:lang w:val="uk-UA"/>
        </w:rPr>
      </w:pPr>
      <w:r>
        <w:rPr>
          <w:b/>
          <w:bCs/>
          <w:lang w:val="uk-UA"/>
        </w:rPr>
        <w:t>3.</w:t>
      </w:r>
      <w:r>
        <w:rPr>
          <w:lang w:val="uk-UA"/>
        </w:rPr>
        <w:t xml:space="preserve"> Встановлено, що серед пільгових категорій населення промислових регіонів за кількістю осіб і частотою звернення за лікарськими засобами значне місце посідають учасники, ветерани війни та прирівняні до них із захворюваннями обструктивним бронхітом і енцефалопатією, онко</w:t>
      </w:r>
      <w:r>
        <w:rPr>
          <w:lang w:val="uk-UA"/>
        </w:rPr>
        <w:softHyphen/>
        <w:t>хворі, хворі цукровим і нецукровим діабетом, хворі психічними розладами, в тому числі шизофр</w:t>
      </w:r>
      <w:r>
        <w:rPr>
          <w:lang w:val="uk-UA"/>
        </w:rPr>
        <w:t>е</w:t>
      </w:r>
      <w:r>
        <w:rPr>
          <w:lang w:val="uk-UA"/>
        </w:rPr>
        <w:t>нією шубоподібною і епілепсією. Досліджена частота використання фармакотерапевтичних груп ліка</w:t>
      </w:r>
      <w:r>
        <w:rPr>
          <w:lang w:val="uk-UA"/>
        </w:rPr>
        <w:t>р</w:t>
      </w:r>
      <w:r>
        <w:rPr>
          <w:lang w:val="uk-UA"/>
        </w:rPr>
        <w:t>ських засобів. Перші місця посідають анальгетики (коефіцієнт частоти використання 0,70), гіпоте</w:t>
      </w:r>
      <w:r>
        <w:rPr>
          <w:lang w:val="uk-UA"/>
        </w:rPr>
        <w:t>н</w:t>
      </w:r>
      <w:r>
        <w:rPr>
          <w:lang w:val="uk-UA"/>
        </w:rPr>
        <w:t>зивні засоби (0,63), транквілізатори (0,58), антибіотики (0,57), спазмолітичні (0,56), засоби для поліпшення кров</w:t>
      </w:r>
      <w:r>
        <w:rPr>
          <w:lang w:val="uk-UA"/>
        </w:rPr>
        <w:t>о</w:t>
      </w:r>
      <w:r>
        <w:rPr>
          <w:lang w:val="uk-UA"/>
        </w:rPr>
        <w:t>обігу мозку (0,56), протидіабетичні (0,54), вітаміни (0,5).</w:t>
      </w:r>
    </w:p>
    <w:p w:rsidR="004A36EF" w:rsidRDefault="004A36EF" w:rsidP="004A36EF">
      <w:pPr>
        <w:widowControl w:val="0"/>
        <w:spacing w:line="360" w:lineRule="auto"/>
        <w:ind w:firstLine="567"/>
        <w:jc w:val="both"/>
        <w:rPr>
          <w:lang w:val="uk-UA"/>
        </w:rPr>
      </w:pPr>
      <w:r>
        <w:rPr>
          <w:b/>
          <w:bCs/>
          <w:lang w:val="uk-UA"/>
        </w:rPr>
        <w:t>4.</w:t>
      </w:r>
      <w:r>
        <w:rPr>
          <w:lang w:val="uk-UA"/>
        </w:rPr>
        <w:t xml:space="preserve"> Проведеними дослідженнями вперше виявлені проблеми в організації лікарського забезп</w:t>
      </w:r>
      <w:r>
        <w:rPr>
          <w:lang w:val="uk-UA"/>
        </w:rPr>
        <w:t>е</w:t>
      </w:r>
      <w:r>
        <w:rPr>
          <w:lang w:val="uk-UA"/>
        </w:rPr>
        <w:t>чення пільгових категорій населення промислових регіонів. Серед них значне місце посідають ф</w:t>
      </w:r>
      <w:r>
        <w:rPr>
          <w:lang w:val="uk-UA"/>
        </w:rPr>
        <w:t>і</w:t>
      </w:r>
      <w:r>
        <w:rPr>
          <w:lang w:val="uk-UA"/>
        </w:rPr>
        <w:t>нансові проблеми (62% випадків), проблеми планування та розподілу коштів для придбання ліка</w:t>
      </w:r>
      <w:r>
        <w:rPr>
          <w:lang w:val="uk-UA"/>
        </w:rPr>
        <w:t>р</w:t>
      </w:r>
      <w:r>
        <w:rPr>
          <w:lang w:val="uk-UA"/>
        </w:rPr>
        <w:t>ських засобів (100% випадків). Їх невирішення призводить до скорочення фінансування на рі</w:t>
      </w:r>
      <w:r>
        <w:rPr>
          <w:lang w:val="uk-UA"/>
        </w:rPr>
        <w:t>в</w:t>
      </w:r>
      <w:r>
        <w:rPr>
          <w:lang w:val="uk-UA"/>
        </w:rPr>
        <w:t>ні промислових регіонів та суб’єктивного підходу до розподілу коштів окремим територіям т</w:t>
      </w:r>
      <w:r>
        <w:rPr>
          <w:lang w:val="uk-UA"/>
        </w:rPr>
        <w:t>о</w:t>
      </w:r>
      <w:r>
        <w:rPr>
          <w:lang w:val="uk-UA"/>
        </w:rPr>
        <w:t>го чи іншого регіону.</w:t>
      </w:r>
    </w:p>
    <w:p w:rsidR="004A36EF" w:rsidRDefault="004A36EF" w:rsidP="004A36EF">
      <w:pPr>
        <w:widowControl w:val="0"/>
        <w:spacing w:line="360" w:lineRule="auto"/>
        <w:ind w:firstLine="567"/>
        <w:jc w:val="both"/>
        <w:rPr>
          <w:lang w:val="uk-UA"/>
        </w:rPr>
      </w:pPr>
      <w:r>
        <w:rPr>
          <w:b/>
          <w:bCs/>
          <w:lang w:val="uk-UA"/>
        </w:rPr>
        <w:t>5.</w:t>
      </w:r>
      <w:r>
        <w:rPr>
          <w:lang w:val="uk-UA"/>
        </w:rPr>
        <w:t xml:space="preserve"> Встановлено, що суттєвим резервом для покращення лікарського забезпечення пільгових категорій населення промислових регіонів є впровадження у медичну практику нормуючих мех</w:t>
      </w:r>
      <w:r>
        <w:rPr>
          <w:lang w:val="uk-UA"/>
        </w:rPr>
        <w:t>а</w:t>
      </w:r>
      <w:r>
        <w:rPr>
          <w:lang w:val="uk-UA"/>
        </w:rPr>
        <w:t>нізмів розрахунку необхідної номенклатури лікарських засобів та витрат на їх придбання (форм</w:t>
      </w:r>
      <w:r>
        <w:rPr>
          <w:lang w:val="uk-UA"/>
        </w:rPr>
        <w:t>у</w:t>
      </w:r>
      <w:r>
        <w:rPr>
          <w:lang w:val="uk-UA"/>
        </w:rPr>
        <w:t>лярні системи, стандартизовані варіанти), а також створення й виробництво доступних за цінами та технологіями лікарських засобів на регіональному рівні. Наочно це обґрунтовано на прикладі інфузійних розчинів, які майже у кожному другому випадку входять до переліку лікарських зас</w:t>
      </w:r>
      <w:r>
        <w:rPr>
          <w:lang w:val="uk-UA"/>
        </w:rPr>
        <w:t>о</w:t>
      </w:r>
      <w:r>
        <w:rPr>
          <w:lang w:val="uk-UA"/>
        </w:rPr>
        <w:t>бів при зверненні осіб пільгових категорій населення за лікарською допомогою.</w:t>
      </w:r>
    </w:p>
    <w:p w:rsidR="004A36EF" w:rsidRDefault="004A36EF" w:rsidP="004A36EF">
      <w:pPr>
        <w:widowControl w:val="0"/>
        <w:spacing w:line="360" w:lineRule="auto"/>
        <w:ind w:firstLine="567"/>
        <w:jc w:val="both"/>
        <w:rPr>
          <w:lang w:val="uk-UA"/>
        </w:rPr>
      </w:pPr>
      <w:r>
        <w:rPr>
          <w:b/>
          <w:bCs/>
          <w:lang w:val="uk-UA"/>
        </w:rPr>
        <w:t>6.</w:t>
      </w:r>
      <w:r>
        <w:rPr>
          <w:lang w:val="uk-UA"/>
        </w:rPr>
        <w:t xml:space="preserve"> Вперше обґрунтовані наукові підходи до удосконалення лікарського забезпечення пільг</w:t>
      </w:r>
      <w:r>
        <w:rPr>
          <w:lang w:val="uk-UA"/>
        </w:rPr>
        <w:t>о</w:t>
      </w:r>
      <w:r>
        <w:rPr>
          <w:lang w:val="uk-UA"/>
        </w:rPr>
        <w:t xml:space="preserve">вих категорій населення на підставі оцінки фармакотерапевтичної дії лікарських засобів </w:t>
      </w:r>
      <w:r>
        <w:rPr>
          <w:lang w:val="uk-UA"/>
        </w:rPr>
        <w:lastRenderedPageBreak/>
        <w:t>загальн</w:t>
      </w:r>
      <w:r>
        <w:rPr>
          <w:lang w:val="uk-UA"/>
        </w:rPr>
        <w:t>о</w:t>
      </w:r>
      <w:r>
        <w:rPr>
          <w:lang w:val="uk-UA"/>
        </w:rPr>
        <w:t>го переліку для забезпечення тієї чи іншої пільгової категорії шляхом використання методів ек</w:t>
      </w:r>
      <w:r>
        <w:rPr>
          <w:lang w:val="uk-UA"/>
        </w:rPr>
        <w:t>с</w:t>
      </w:r>
      <w:r>
        <w:rPr>
          <w:lang w:val="uk-UA"/>
        </w:rPr>
        <w:t>пертних оцінок та фармакоекономічного аналізу.</w:t>
      </w:r>
    </w:p>
    <w:p w:rsidR="004A36EF" w:rsidRDefault="004A36EF" w:rsidP="004A36EF">
      <w:pPr>
        <w:widowControl w:val="0"/>
        <w:spacing w:line="360" w:lineRule="auto"/>
        <w:ind w:firstLine="567"/>
        <w:jc w:val="both"/>
        <w:rPr>
          <w:lang w:val="uk-UA"/>
        </w:rPr>
      </w:pPr>
      <w:r>
        <w:rPr>
          <w:b/>
          <w:bCs/>
          <w:lang w:val="uk-UA"/>
        </w:rPr>
        <w:t>7.</w:t>
      </w:r>
      <w:r>
        <w:rPr>
          <w:lang w:val="uk-UA"/>
        </w:rPr>
        <w:t xml:space="preserve"> Обґрунтовані стандартизовані варіанти для забезпечення лікарськими засобами пільгових категорій населення промислових регіонів, які базуються на мінімізації витрат шляхом оцінки ф</w:t>
      </w:r>
      <w:r>
        <w:rPr>
          <w:lang w:val="uk-UA"/>
        </w:rPr>
        <w:t>а</w:t>
      </w:r>
      <w:r>
        <w:rPr>
          <w:lang w:val="uk-UA"/>
        </w:rPr>
        <w:t>рмакотерапевтичної дії за різними схемами поєднань лікарських засобів. Передбачена можливість вибору стандартизованих варіантів у залежності від медичних показань стану хворого та наявності коштів на придбання лікарс</w:t>
      </w:r>
      <w:r>
        <w:rPr>
          <w:lang w:val="uk-UA"/>
        </w:rPr>
        <w:t>ь</w:t>
      </w:r>
      <w:r>
        <w:rPr>
          <w:lang w:val="uk-UA"/>
        </w:rPr>
        <w:t>ких засобів. Тому вперше стандартизовані витрати розглядаються як системно обґрунтовані положення лікарського забезпечення пільгових категорій населення пр</w:t>
      </w:r>
      <w:r>
        <w:rPr>
          <w:lang w:val="uk-UA"/>
        </w:rPr>
        <w:t>о</w:t>
      </w:r>
      <w:r>
        <w:rPr>
          <w:lang w:val="uk-UA"/>
        </w:rPr>
        <w:t>мислових регіонів в допомогу регіональним закладам охорони здоров’я та лікувально-профілактичним установам щодо формування та контролю коштів на придбання лікарських засобів, для п</w:t>
      </w:r>
      <w:r>
        <w:rPr>
          <w:lang w:val="uk-UA"/>
        </w:rPr>
        <w:t>о</w:t>
      </w:r>
      <w:r>
        <w:rPr>
          <w:lang w:val="uk-UA"/>
        </w:rPr>
        <w:t>будови певної лікарської тактики.</w:t>
      </w:r>
    </w:p>
    <w:p w:rsidR="004A36EF" w:rsidRDefault="004A36EF" w:rsidP="004A36EF">
      <w:pPr>
        <w:widowControl w:val="0"/>
        <w:spacing w:line="360" w:lineRule="auto"/>
        <w:ind w:firstLine="567"/>
        <w:jc w:val="both"/>
        <w:rPr>
          <w:lang w:val="uk-UA"/>
        </w:rPr>
      </w:pPr>
      <w:r>
        <w:rPr>
          <w:b/>
          <w:bCs/>
          <w:lang w:val="uk-UA"/>
        </w:rPr>
        <w:t>8.</w:t>
      </w:r>
      <w:r>
        <w:rPr>
          <w:lang w:val="uk-UA"/>
        </w:rPr>
        <w:t xml:space="preserve"> Вперше обґрунтовані стандартизовані варіанти лікарського забезпечення пільгових кат</w:t>
      </w:r>
      <w:r>
        <w:rPr>
          <w:lang w:val="uk-UA"/>
        </w:rPr>
        <w:t>е</w:t>
      </w:r>
      <w:r>
        <w:rPr>
          <w:lang w:val="uk-UA"/>
        </w:rPr>
        <w:t>горій населення промислових регіонів: інвалідів, учасників війни та прирівняних до них за найп</w:t>
      </w:r>
      <w:r>
        <w:rPr>
          <w:lang w:val="uk-UA"/>
        </w:rPr>
        <w:t>о</w:t>
      </w:r>
      <w:r>
        <w:rPr>
          <w:lang w:val="uk-UA"/>
        </w:rPr>
        <w:t>ширенішими захворюваннями (16 стандартів); хворих раком легенів і молочної залози (14 станд</w:t>
      </w:r>
      <w:r>
        <w:rPr>
          <w:lang w:val="uk-UA"/>
        </w:rPr>
        <w:t>а</w:t>
      </w:r>
      <w:r>
        <w:rPr>
          <w:lang w:val="uk-UA"/>
        </w:rPr>
        <w:t>ртів); хворих цукровим і нецукровим діабетом (25 стандартів) та хворих шизофренією шубоподі</w:t>
      </w:r>
      <w:r>
        <w:rPr>
          <w:lang w:val="uk-UA"/>
        </w:rPr>
        <w:t>б</w:t>
      </w:r>
      <w:r>
        <w:rPr>
          <w:lang w:val="uk-UA"/>
        </w:rPr>
        <w:t>ною і епілепсією (18 стандартів).</w:t>
      </w:r>
    </w:p>
    <w:p w:rsidR="004A36EF" w:rsidRDefault="004A36EF" w:rsidP="004A36EF">
      <w:pPr>
        <w:widowControl w:val="0"/>
        <w:spacing w:line="360" w:lineRule="auto"/>
        <w:ind w:firstLine="567"/>
        <w:jc w:val="both"/>
        <w:rPr>
          <w:lang w:val="uk-UA"/>
        </w:rPr>
      </w:pPr>
      <w:r>
        <w:rPr>
          <w:lang w:val="uk-UA"/>
        </w:rPr>
        <w:t>Отримані результати затверджені МОЗ України і знайшли використання у практичній охороні здоров’я та фармації на рівні промисл</w:t>
      </w:r>
      <w:r>
        <w:rPr>
          <w:lang w:val="uk-UA"/>
        </w:rPr>
        <w:t>о</w:t>
      </w:r>
      <w:r>
        <w:rPr>
          <w:lang w:val="uk-UA"/>
        </w:rPr>
        <w:t>вих та інших регіонів, окремих лікувально-профілактичних установ і аптечних підприємств, у навчальному процесі додипломної і післяди</w:t>
      </w:r>
      <w:r>
        <w:rPr>
          <w:lang w:val="uk-UA"/>
        </w:rPr>
        <w:t>п</w:t>
      </w:r>
      <w:r>
        <w:rPr>
          <w:lang w:val="uk-UA"/>
        </w:rPr>
        <w:t>ломної підготовки фахівців фармації.</w:t>
      </w:r>
    </w:p>
    <w:p w:rsidR="004A36EF" w:rsidRDefault="004A36EF" w:rsidP="004A36EF">
      <w:pPr>
        <w:widowControl w:val="0"/>
        <w:spacing w:line="360" w:lineRule="auto"/>
        <w:ind w:firstLine="567"/>
        <w:jc w:val="both"/>
        <w:rPr>
          <w:lang w:val="uk-UA"/>
        </w:rPr>
      </w:pPr>
      <w:r>
        <w:rPr>
          <w:b/>
          <w:bCs/>
          <w:lang w:val="uk-UA"/>
        </w:rPr>
        <w:t>9.</w:t>
      </w:r>
      <w:r>
        <w:rPr>
          <w:lang w:val="uk-UA"/>
        </w:rPr>
        <w:t xml:space="preserve"> Проведені дослідження фармацевтичного ринку інфузійних розчинів. Встановлено, що він нараховує біля 150 лікарських засобів вітчизняного і закордонного виробництва. Переважає ном</w:t>
      </w:r>
      <w:r>
        <w:rPr>
          <w:lang w:val="uk-UA"/>
        </w:rPr>
        <w:t>е</w:t>
      </w:r>
      <w:r>
        <w:rPr>
          <w:lang w:val="uk-UA"/>
        </w:rPr>
        <w:t>нклатура закордонних виробників. Вперше проведений порівняльний аналіз цінового чинн</w:t>
      </w:r>
      <w:r>
        <w:rPr>
          <w:lang w:val="uk-UA"/>
        </w:rPr>
        <w:t>и</w:t>
      </w:r>
      <w:r>
        <w:rPr>
          <w:lang w:val="uk-UA"/>
        </w:rPr>
        <w:t>ка на інфузійні розчини у залежності від фірми-виробника і дистриб’юторних підприємств (фірм). Ві</w:t>
      </w:r>
      <w:r>
        <w:rPr>
          <w:lang w:val="uk-UA"/>
        </w:rPr>
        <w:t>т</w:t>
      </w:r>
      <w:r>
        <w:rPr>
          <w:lang w:val="uk-UA"/>
        </w:rPr>
        <w:t>чизняний ринок інфузійних розчинів не повністю задовольняє потреби установ і закладів ох</w:t>
      </w:r>
      <w:r>
        <w:rPr>
          <w:lang w:val="uk-UA"/>
        </w:rPr>
        <w:t>о</w:t>
      </w:r>
      <w:r>
        <w:rPr>
          <w:lang w:val="uk-UA"/>
        </w:rPr>
        <w:t>рони здоров’я, в тому числі з лікарського забезпечення пільгових категорій населення промислових р</w:t>
      </w:r>
      <w:r>
        <w:rPr>
          <w:lang w:val="uk-UA"/>
        </w:rPr>
        <w:t>е</w:t>
      </w:r>
      <w:r>
        <w:rPr>
          <w:lang w:val="uk-UA"/>
        </w:rPr>
        <w:t>гіонів, про що свідчить досить вільна поведінка дистриб’юторських фірм з цінами на ри</w:t>
      </w:r>
      <w:r>
        <w:rPr>
          <w:lang w:val="uk-UA"/>
        </w:rPr>
        <w:t>н</w:t>
      </w:r>
      <w:r>
        <w:rPr>
          <w:lang w:val="uk-UA"/>
        </w:rPr>
        <w:t>ку.</w:t>
      </w:r>
    </w:p>
    <w:p w:rsidR="004A36EF" w:rsidRDefault="004A36EF" w:rsidP="004A36EF">
      <w:pPr>
        <w:widowControl w:val="0"/>
        <w:spacing w:line="360" w:lineRule="auto"/>
        <w:ind w:firstLine="567"/>
        <w:jc w:val="both"/>
        <w:rPr>
          <w:lang w:val="uk-UA"/>
        </w:rPr>
      </w:pPr>
      <w:r>
        <w:rPr>
          <w:b/>
          <w:bCs/>
          <w:lang w:val="uk-UA"/>
        </w:rPr>
        <w:t>10.</w:t>
      </w:r>
      <w:r>
        <w:rPr>
          <w:lang w:val="uk-UA"/>
        </w:rPr>
        <w:t xml:space="preserve"> Встановлено, що регіональні виробники інфузійних розчинів (фармацевтичні фабрики) при налагодженні технологічних процесів на рівні сучасних вимог можуть конкурувати на за</w:t>
      </w:r>
      <w:r>
        <w:rPr>
          <w:lang w:val="uk-UA"/>
        </w:rPr>
        <w:softHyphen/>
        <w:t>гальному вітчизняному ринку, в першу чергу через більш доступні ціни. Але для цього необхі</w:t>
      </w:r>
      <w:r>
        <w:rPr>
          <w:lang w:val="uk-UA"/>
        </w:rPr>
        <w:t>д</w:t>
      </w:r>
      <w:r>
        <w:rPr>
          <w:lang w:val="uk-UA"/>
        </w:rPr>
        <w:t>ні наукові розробки вітчизняних технологічних регламентів виробництва інфузійних розчинів, ада</w:t>
      </w:r>
      <w:r>
        <w:rPr>
          <w:lang w:val="uk-UA"/>
        </w:rPr>
        <w:t>п</w:t>
      </w:r>
      <w:r>
        <w:rPr>
          <w:lang w:val="uk-UA"/>
        </w:rPr>
        <w:t>тованих до умов регіональних підприємств. Перспективними серед них є обґрунтування те</w:t>
      </w:r>
      <w:r>
        <w:rPr>
          <w:lang w:val="uk-UA"/>
        </w:rPr>
        <w:t>х</w:t>
      </w:r>
      <w:r>
        <w:rPr>
          <w:lang w:val="uk-UA"/>
        </w:rPr>
        <w:t>нології виробництва регуляторів водно-сольового балансу і кислотно-лужної рівноваги (наприклад, ро</w:t>
      </w:r>
      <w:r>
        <w:rPr>
          <w:lang w:val="uk-UA"/>
        </w:rPr>
        <w:t>з</w:t>
      </w:r>
      <w:r>
        <w:rPr>
          <w:lang w:val="uk-UA"/>
        </w:rPr>
        <w:t>чин “Трисіль”), колоїдних розчинів гемодинамічного впливу (наприклад, розчин “Реополігл</w:t>
      </w:r>
      <w:r>
        <w:rPr>
          <w:lang w:val="uk-UA"/>
        </w:rPr>
        <w:t>ю</w:t>
      </w:r>
      <w:r>
        <w:rPr>
          <w:lang w:val="uk-UA"/>
        </w:rPr>
        <w:t>кін”).</w:t>
      </w:r>
    </w:p>
    <w:p w:rsidR="004A36EF" w:rsidRDefault="004A36EF" w:rsidP="004A36EF">
      <w:pPr>
        <w:widowControl w:val="0"/>
        <w:spacing w:line="360" w:lineRule="auto"/>
        <w:ind w:firstLine="567"/>
        <w:jc w:val="both"/>
        <w:rPr>
          <w:lang w:val="uk-UA"/>
        </w:rPr>
      </w:pPr>
      <w:r>
        <w:rPr>
          <w:b/>
          <w:bCs/>
          <w:lang w:val="uk-UA"/>
        </w:rPr>
        <w:lastRenderedPageBreak/>
        <w:t>11.</w:t>
      </w:r>
      <w:r>
        <w:rPr>
          <w:lang w:val="uk-UA"/>
        </w:rPr>
        <w:t xml:space="preserve"> Визначено осмолярність інфузійних розчинів “Трисіль” (293,167 мосмоль/л) і “Реополі</w:t>
      </w:r>
      <w:r>
        <w:rPr>
          <w:lang w:val="uk-UA"/>
        </w:rPr>
        <w:t>г</w:t>
      </w:r>
      <w:r>
        <w:rPr>
          <w:lang w:val="uk-UA"/>
        </w:rPr>
        <w:t>люкін” (310,865 мосмоль/л) і доведена їх відповідність вимогам ДФУ за цим показником. Обґру</w:t>
      </w:r>
      <w:r>
        <w:rPr>
          <w:lang w:val="uk-UA"/>
        </w:rPr>
        <w:t>н</w:t>
      </w:r>
      <w:r>
        <w:rPr>
          <w:lang w:val="uk-UA"/>
        </w:rPr>
        <w:t>тована можливість використання для їх упаковки полівінілхлоридних пакетів (пвх). Вперше в</w:t>
      </w:r>
      <w:r>
        <w:rPr>
          <w:lang w:val="uk-UA"/>
        </w:rPr>
        <w:t>и</w:t>
      </w:r>
      <w:r>
        <w:rPr>
          <w:lang w:val="uk-UA"/>
        </w:rPr>
        <w:t>вчена стабільність розчинів “Трисіль” і “Реополіглюкін” залежно від цієї упаковки. Доведена їх стабільність протягом 2-х років при кімнатній температурі.</w:t>
      </w:r>
    </w:p>
    <w:p w:rsidR="004A36EF" w:rsidRDefault="004A36EF" w:rsidP="004A36EF">
      <w:pPr>
        <w:widowControl w:val="0"/>
        <w:spacing w:line="360" w:lineRule="auto"/>
        <w:ind w:firstLine="567"/>
        <w:jc w:val="both"/>
        <w:rPr>
          <w:lang w:val="uk-UA"/>
        </w:rPr>
      </w:pPr>
      <w:r>
        <w:rPr>
          <w:b/>
          <w:bCs/>
          <w:lang w:val="uk-UA"/>
        </w:rPr>
        <w:t>12.</w:t>
      </w:r>
      <w:r>
        <w:rPr>
          <w:lang w:val="uk-UA"/>
        </w:rPr>
        <w:t xml:space="preserve"> Вперше розроблено промислову технологію інфузійних розчинів “Реополіглюкін”і “Тр</w:t>
      </w:r>
      <w:r>
        <w:rPr>
          <w:lang w:val="uk-UA"/>
        </w:rPr>
        <w:t>и</w:t>
      </w:r>
      <w:r>
        <w:rPr>
          <w:lang w:val="uk-UA"/>
        </w:rPr>
        <w:t>сіль” та змонтовано апаратурну схему їх виробництва у відповідності до вимог GMP, яка впров</w:t>
      </w:r>
      <w:r>
        <w:rPr>
          <w:lang w:val="uk-UA"/>
        </w:rPr>
        <w:t>а</w:t>
      </w:r>
      <w:r>
        <w:rPr>
          <w:lang w:val="uk-UA"/>
        </w:rPr>
        <w:t xml:space="preserve">джена на Луганській фармацевтичній фабриці. Проектна потужність виробництва складає 100 тис. упаковок на рік, що забезпечує потреби України майже на 15%. </w:t>
      </w:r>
    </w:p>
    <w:p w:rsidR="004A36EF" w:rsidRDefault="004A36EF" w:rsidP="004A36EF">
      <w:pPr>
        <w:widowControl w:val="0"/>
        <w:spacing w:line="360" w:lineRule="auto"/>
        <w:ind w:firstLine="567"/>
        <w:jc w:val="both"/>
        <w:rPr>
          <w:lang w:val="uk-UA"/>
        </w:rPr>
      </w:pPr>
      <w:r>
        <w:rPr>
          <w:b/>
          <w:bCs/>
          <w:lang w:val="uk-UA"/>
        </w:rPr>
        <w:t>13.</w:t>
      </w:r>
      <w:r>
        <w:rPr>
          <w:lang w:val="uk-UA"/>
        </w:rPr>
        <w:t xml:space="preserve"> Отримані результати лягли в основу нормативно - технічної документації на препарати: пусковий регламент на виробництво інфузійного розчину “Реополіглюкін”, ТФС 42У-105-1441-99, р/п № Р.03.99/00373; пусковий регламент на виробництво розчину “Трисіль”, ФС 42У-105-143-97, р/п №Р/98/17/30, які впроваджені у регіональне виробництво з метою покращення забезпечення пільгових категорій н</w:t>
      </w:r>
      <w:r>
        <w:rPr>
          <w:lang w:val="uk-UA"/>
        </w:rPr>
        <w:t>а</w:t>
      </w:r>
      <w:r>
        <w:rPr>
          <w:lang w:val="uk-UA"/>
        </w:rPr>
        <w:t>селення.</w:t>
      </w:r>
    </w:p>
    <w:p w:rsidR="004A36EF" w:rsidRDefault="004A36EF" w:rsidP="004A36EF">
      <w:pPr>
        <w:pStyle w:val="afffffff8"/>
        <w:ind w:firstLine="561"/>
        <w:jc w:val="both"/>
        <w:rPr>
          <w:color w:val="000000"/>
        </w:rPr>
      </w:pPr>
    </w:p>
    <w:p w:rsidR="004A36EF" w:rsidRDefault="004A36EF" w:rsidP="004A36EF">
      <w:pPr>
        <w:widowControl w:val="0"/>
        <w:spacing w:line="360" w:lineRule="auto"/>
        <w:ind w:firstLine="567"/>
        <w:jc w:val="center"/>
        <w:rPr>
          <w:b/>
          <w:bCs/>
          <w:caps/>
          <w:lang w:val="uk-UA"/>
        </w:rPr>
      </w:pPr>
      <w:r>
        <w:rPr>
          <w:b/>
          <w:bCs/>
          <w:caps/>
          <w:lang w:val="uk-UA"/>
        </w:rPr>
        <w:t>Основний зміст роботи висвітлений у публікаціях</w:t>
      </w:r>
    </w:p>
    <w:p w:rsidR="004A36EF" w:rsidRDefault="004A36EF" w:rsidP="004A36EF">
      <w:pPr>
        <w:pStyle w:val="20"/>
        <w:keepNext w:val="0"/>
        <w:spacing w:before="120" w:line="360" w:lineRule="auto"/>
        <w:jc w:val="center"/>
      </w:pPr>
      <w:r>
        <w:rPr>
          <w:b w:val="0"/>
          <w:bCs w:val="0"/>
          <w:sz w:val="24"/>
          <w:szCs w:val="24"/>
        </w:rPr>
        <w:t>Статті у наукових фахових виданнях</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Кінетика мембранної проникливості саліцилової та ацетилсаліцилової кислоти та їх комбін</w:t>
      </w:r>
      <w:r>
        <w:rPr>
          <w:lang w:val="uk-UA"/>
        </w:rPr>
        <w:t>а</w:t>
      </w:r>
      <w:r>
        <w:rPr>
          <w:lang w:val="uk-UA"/>
        </w:rPr>
        <w:t>цій з іншими лікарськими засобами / М.М.Царевська, Л.В. Савченкова, Т.А. Вітюкова, О.П. Г</w:t>
      </w:r>
      <w:r>
        <w:rPr>
          <w:lang w:val="uk-UA"/>
        </w:rPr>
        <w:t>у</w:t>
      </w:r>
      <w:r>
        <w:rPr>
          <w:lang w:val="uk-UA"/>
        </w:rPr>
        <w:t>дзенко // Фармац. журн. – 1993. – №3. – С.56-60. (Дисертант брав участь в освоєнні методики т</w:t>
      </w:r>
      <w:r>
        <w:rPr>
          <w:lang w:val="uk-UA"/>
        </w:rPr>
        <w:t>е</w:t>
      </w:r>
      <w:r>
        <w:rPr>
          <w:lang w:val="uk-UA"/>
        </w:rPr>
        <w:t>хнологій комбінованих лікарських засобів, написанні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Толочко В.М., Шандебура О.В., Гудзенко О.П. Вивчення ринку ферментних препаратів, які покращують процеси травлення // Вісн. фармац. – 1994. – №3-4, – С. 19-20. (Дисертант брав участь у проведенні експерименту стосовно вивчення використання ферментних препаратів с</w:t>
      </w:r>
      <w:r>
        <w:rPr>
          <w:lang w:val="uk-UA"/>
        </w:rPr>
        <w:t>е</w:t>
      </w:r>
      <w:r>
        <w:rPr>
          <w:lang w:val="uk-UA"/>
        </w:rPr>
        <w:t>ред пільгових категорій населення).</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Перспективы лекарственного обеспечения населения негосударственными предприятиями в условиях рынка. Сообщение 1 / В.М. Толочко, А.П. Гудзенко, В.Н. Хоменко, М.В. Чешева // Провизор. – 1998. – №4. – С. 19-20. (Дисертантом використані результати особистих досліджень відносно пільгових категорій населення, брав участь у написанні тексту).</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Толочко В.М., Гудзенко А.П., Хоменко В.Н. Перспективы лекарственного обеспечения нас</w:t>
      </w:r>
      <w:r>
        <w:rPr>
          <w:lang w:val="uk-UA"/>
        </w:rPr>
        <w:t>е</w:t>
      </w:r>
      <w:r>
        <w:rPr>
          <w:lang w:val="uk-UA"/>
        </w:rPr>
        <w:t>ления негосударственными предприятиями в условиях рынка. Сообщение 2 // Провизор. – 1998. – №8. – С.20-21. (Дисертантом використані результати особистих досліджень на рівні пр</w:t>
      </w:r>
      <w:r>
        <w:rPr>
          <w:lang w:val="uk-UA"/>
        </w:rPr>
        <w:t>о</w:t>
      </w:r>
      <w:r>
        <w:rPr>
          <w:lang w:val="uk-UA"/>
        </w:rPr>
        <w:t>мислових регіонів, брав участь у написанні тексту).</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 xml:space="preserve">Толочко В.М., Гудзенко А.П., Хоменко В.Н. Перспективы лекарственного обеспечения </w:t>
      </w:r>
      <w:r>
        <w:rPr>
          <w:lang w:val="uk-UA"/>
        </w:rPr>
        <w:lastRenderedPageBreak/>
        <w:t>нас</w:t>
      </w:r>
      <w:r>
        <w:rPr>
          <w:lang w:val="uk-UA"/>
        </w:rPr>
        <w:t>е</w:t>
      </w:r>
      <w:r>
        <w:rPr>
          <w:lang w:val="uk-UA"/>
        </w:rPr>
        <w:t>ления негосударственными предприятиями в условиях рынка. Сообщение 3 // Провизор. – 1998. – №14. – С.17-18. (Дисертантом використані результати особистих досліджень на рівні промисл</w:t>
      </w:r>
      <w:r>
        <w:rPr>
          <w:lang w:val="uk-UA"/>
        </w:rPr>
        <w:t>о</w:t>
      </w:r>
      <w:r>
        <w:rPr>
          <w:lang w:val="uk-UA"/>
        </w:rPr>
        <w:t>вих регіонів, брав участь у написанні тексту).</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Толочко В.М., Гудзенко А.П. Система последипломного обучения специалистов фармации и пути ее развития // Провизор. – 1998. – №5. – C. 25-27. (Дисертантом використані особисті підх</w:t>
      </w:r>
      <w:r>
        <w:rPr>
          <w:lang w:val="uk-UA"/>
        </w:rPr>
        <w:t>о</w:t>
      </w:r>
      <w:r>
        <w:rPr>
          <w:lang w:val="uk-UA"/>
        </w:rPr>
        <w:t>ди, які відпрацьовані на рівні аптечних підприємств, що обслуговують пільгові категорії нас</w:t>
      </w:r>
      <w:r>
        <w:rPr>
          <w:lang w:val="uk-UA"/>
        </w:rPr>
        <w:t>е</w:t>
      </w:r>
      <w:r>
        <w:rPr>
          <w:lang w:val="uk-UA"/>
        </w:rPr>
        <w:t>лення в регіонах).</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Дослідження напрямків регулювання фармацевтичної діяльності недержавних комерційних підприємств шляхом нормування (класифікації) її об’єму./ В.М. Толочко, О.П. Гудзенко, О.А. Друговіна, М.Л. Сятиня // Вісн. фармац. – 1998. – №1. – С.70-72. (Дисертант брав участь у накопиченні інформації стосовно лікарського забезпечення населення промислових регіонів, н</w:t>
      </w:r>
      <w:r>
        <w:rPr>
          <w:lang w:val="uk-UA"/>
        </w:rPr>
        <w:t>а</w:t>
      </w:r>
      <w:r>
        <w:rPr>
          <w:lang w:val="uk-UA"/>
        </w:rPr>
        <w:t>писанні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Толочко В.М., Гузенко А.П., Сятыня М.Л. Перспективы последипломной подготовки специ</w:t>
      </w:r>
      <w:r>
        <w:rPr>
          <w:lang w:val="uk-UA"/>
        </w:rPr>
        <w:t>а</w:t>
      </w:r>
      <w:r>
        <w:rPr>
          <w:lang w:val="uk-UA"/>
        </w:rPr>
        <w:t>листов фармации // Провизор. – 1999. – №1. – С.34-35. (Дисертант брав участь у написанні тексту статті, використовуючи свої результати досліджень кадрового забезпечення аптечних підприємств пр</w:t>
      </w:r>
      <w:r>
        <w:rPr>
          <w:lang w:val="uk-UA"/>
        </w:rPr>
        <w:t>о</w:t>
      </w:r>
      <w:r>
        <w:rPr>
          <w:lang w:val="uk-UA"/>
        </w:rPr>
        <w:t>мислових регіонів).</w:t>
      </w:r>
    </w:p>
    <w:p w:rsidR="004A36EF" w:rsidRDefault="004A36EF" w:rsidP="009D5D0C">
      <w:pPr>
        <w:widowControl w:val="0"/>
        <w:numPr>
          <w:ilvl w:val="0"/>
          <w:numId w:val="43"/>
        </w:numPr>
        <w:suppressAutoHyphens w:val="0"/>
        <w:spacing w:line="360" w:lineRule="auto"/>
        <w:ind w:left="0" w:right="140" w:firstLine="0"/>
        <w:jc w:val="both"/>
        <w:rPr>
          <w:spacing w:val="-6"/>
          <w:lang w:val="uk-UA"/>
        </w:rPr>
      </w:pPr>
      <w:r>
        <w:rPr>
          <w:spacing w:val="-6"/>
          <w:lang w:val="uk-UA"/>
        </w:rPr>
        <w:t>Гудзенко А.П. Направления финансово-хозяйственной деятельности Луганского областного производственного предприятия “Фарм</w:t>
      </w:r>
      <w:r>
        <w:rPr>
          <w:spacing w:val="-6"/>
          <w:lang w:val="uk-UA"/>
        </w:rPr>
        <w:t>а</w:t>
      </w:r>
      <w:r>
        <w:rPr>
          <w:spacing w:val="-6"/>
          <w:lang w:val="uk-UA"/>
        </w:rPr>
        <w:t>ция” в рыночных условиях // Провизор. – 1999. – №9. – С.24-25.</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Луганщина: відкриття нового цеху по виробництву інфузійних розчинів та о</w:t>
      </w:r>
      <w:r>
        <w:rPr>
          <w:lang w:val="uk-UA"/>
        </w:rPr>
        <w:t>ч</w:t>
      </w:r>
      <w:r>
        <w:rPr>
          <w:lang w:val="uk-UA"/>
        </w:rPr>
        <w:t>них крапель // Фармац. журн. – 2000. – №2. – С.41-43.</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Розробка технології вітчизняних ін’єкційних розчинів “Трисіль” і “Реополіглюкін” в умовах GMP/ О.І. Тихонов, О.П. Гудзенко, Н.Ф. Орловецька, І.Ю. Постольнік // Вісн. фармац. – 2000. – №3. – С.45-49. (Дисертантом проведені особисті дослідження та їх обробка, брав участь у нап</w:t>
      </w:r>
      <w:r>
        <w:rPr>
          <w:lang w:val="uk-UA"/>
        </w:rPr>
        <w:t>и</w:t>
      </w:r>
      <w:r>
        <w:rPr>
          <w:lang w:val="uk-UA"/>
        </w:rPr>
        <w:t>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До питання осмолярності інфузійних розчинів при їх промисловому виробництві / О.П. Г</w:t>
      </w:r>
      <w:r>
        <w:rPr>
          <w:lang w:val="uk-UA"/>
        </w:rPr>
        <w:t>у</w:t>
      </w:r>
      <w:r>
        <w:rPr>
          <w:lang w:val="uk-UA"/>
        </w:rPr>
        <w:t>дзенко, А.І. Тихонов, Н.Ф. Орловецька, І.Ю. Постольнік // Вісн. фармац. – 2000. – №4. – С.18-20. (Дисертантом використані результати особистих досліджень, брав участь у написанні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Толочко В.М., Друговина Е.А., Гудзенко А.П. Состояние и перспективы материально-технического обеспечения фармацевтической д</w:t>
      </w:r>
      <w:r>
        <w:rPr>
          <w:lang w:val="uk-UA"/>
        </w:rPr>
        <w:t>е</w:t>
      </w:r>
      <w:r>
        <w:rPr>
          <w:lang w:val="uk-UA"/>
        </w:rPr>
        <w:t>ятельности негосударственных коммерческих предприятий // Фармаком. – 2001. – №2. – С.88-90. (Дисертантом апробована методика співста</w:t>
      </w:r>
      <w:r>
        <w:rPr>
          <w:lang w:val="uk-UA"/>
        </w:rPr>
        <w:t>в</w:t>
      </w:r>
      <w:r>
        <w:rPr>
          <w:lang w:val="uk-UA"/>
        </w:rPr>
        <w:t>лення обсягу діяльності підприємств і площі їх виробничих приміщень, здійснена обробка результатів, брав участь у написанні те</w:t>
      </w:r>
      <w:r>
        <w:rPr>
          <w:lang w:val="uk-UA"/>
        </w:rPr>
        <w:t>к</w:t>
      </w:r>
      <w:r>
        <w:rPr>
          <w:lang w:val="uk-UA"/>
        </w:rPr>
        <w:t>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Вологопроникність полівінілхлоридних упаковок – один із критеріїв  якості інфузійних ро</w:t>
      </w:r>
      <w:r>
        <w:rPr>
          <w:lang w:val="uk-UA"/>
        </w:rPr>
        <w:t>з</w:t>
      </w:r>
      <w:r>
        <w:rPr>
          <w:lang w:val="uk-UA"/>
        </w:rPr>
        <w:t xml:space="preserve">чинів / О.І.Тихонов, О.П.Гудзенко, Н.Ф.Орловецька та ін. // Вісн. фармац. – 2001. – </w:t>
      </w:r>
      <w:r>
        <w:rPr>
          <w:lang w:val="uk-UA"/>
        </w:rPr>
        <w:lastRenderedPageBreak/>
        <w:t>№2. – С.29-31. (Дисертант брав участь у дослідженні, здійснив аналіз та узагальнення результатів, підготував ста</w:t>
      </w:r>
      <w:r>
        <w:rPr>
          <w:lang w:val="uk-UA"/>
        </w:rPr>
        <w:t>т</w:t>
      </w:r>
      <w:r>
        <w:rPr>
          <w:lang w:val="uk-UA"/>
        </w:rPr>
        <w:t>тю).</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Толочко В.М., Тихонов О.І. Наукові підходи до удосконалення лікарського забезпечення пільгового контингенту нас</w:t>
      </w:r>
      <w:r>
        <w:rPr>
          <w:lang w:val="uk-UA"/>
        </w:rPr>
        <w:t>е</w:t>
      </w:r>
      <w:r>
        <w:rPr>
          <w:lang w:val="uk-UA"/>
        </w:rPr>
        <w:t>лення в умовах промислового регіону // Вісн. фармац. – 2001. – №3. – С.92. (Дисертантом проведений експеримент, особисто узагальнені результати, брав участь у написанні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 Толочко В., Тихонов О. Дослідження аспектів забезпечення лікарськими зас</w:t>
      </w:r>
      <w:r>
        <w:rPr>
          <w:lang w:val="uk-UA"/>
        </w:rPr>
        <w:t>о</w:t>
      </w:r>
      <w:r>
        <w:rPr>
          <w:lang w:val="uk-UA"/>
        </w:rPr>
        <w:t>бами пільгових категорій населення на рівні промислового регіону // Ліки України. – 2001. – №11. – С.23-25. (Дисертантом використані особисті результати досліджень, методика їх обробки, брав участь у написанні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Толочко В.М., Тихонов О.І. Медикаментозне забезпечення пільгових катег</w:t>
      </w:r>
      <w:r>
        <w:rPr>
          <w:lang w:val="uk-UA"/>
        </w:rPr>
        <w:t>о</w:t>
      </w:r>
      <w:r>
        <w:rPr>
          <w:lang w:val="uk-UA"/>
        </w:rPr>
        <w:t xml:space="preserve">рій населення на сучасному етапі ринкових відносин // Вісн. фармац. – 2002. – №1. – С.53-57. (Дисертантом проведені дослідження складу пільгового контингенту населення </w:t>
      </w:r>
      <w:r>
        <w:t xml:space="preserve">та </w:t>
      </w:r>
      <w:r>
        <w:rPr>
          <w:lang w:val="uk-UA"/>
        </w:rPr>
        <w:t>об</w:t>
      </w:r>
      <w:r>
        <w:t>`</w:t>
      </w:r>
      <w:r>
        <w:rPr>
          <w:lang w:val="uk-UA"/>
        </w:rPr>
        <w:t xml:space="preserve">єму коштів на придбання лікарських засобів для них, брав участь у написанні тексту статті). </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Толочко В.М. Організаційні особливості лікарського забезпечення пільгових категорій населення в умовах ринку // Вісн. фармац. – 2002. – №3. – С.58-61. (Дисертантом до</w:t>
      </w:r>
      <w:r>
        <w:rPr>
          <w:lang w:val="uk-UA"/>
        </w:rPr>
        <w:t>с</w:t>
      </w:r>
      <w:r>
        <w:rPr>
          <w:lang w:val="uk-UA"/>
        </w:rPr>
        <w:t>ліджені особливості лікарського забезпечення пільгового контингенту населення пром</w:t>
      </w:r>
      <w:r>
        <w:rPr>
          <w:lang w:val="uk-UA"/>
        </w:rPr>
        <w:t>и</w:t>
      </w:r>
      <w:r>
        <w:rPr>
          <w:lang w:val="uk-UA"/>
        </w:rPr>
        <w:t>слових регіонів, обґрунтовані напрямки їх використання з метою його покращення , брав участь у нап</w:t>
      </w:r>
      <w:r>
        <w:rPr>
          <w:lang w:val="uk-UA"/>
        </w:rPr>
        <w:t>и</w:t>
      </w:r>
      <w:r>
        <w:rPr>
          <w:lang w:val="uk-UA"/>
        </w:rPr>
        <w:t>санні тексту статті).</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Методичні підходи до регулювання лікарського забезпечення пільгової категорії населення промислових регіонів – хв</w:t>
      </w:r>
      <w:r>
        <w:rPr>
          <w:lang w:val="uk-UA"/>
        </w:rPr>
        <w:t>о</w:t>
      </w:r>
      <w:r>
        <w:rPr>
          <w:lang w:val="uk-UA"/>
        </w:rPr>
        <w:t>рих раком легенів і молочної залози // Фармац. журн. – 2003. – №4. – С.23-28.</w:t>
      </w:r>
    </w:p>
    <w:p w:rsidR="004A36EF" w:rsidRDefault="004A36EF" w:rsidP="009D5D0C">
      <w:pPr>
        <w:widowControl w:val="0"/>
        <w:numPr>
          <w:ilvl w:val="0"/>
          <w:numId w:val="43"/>
        </w:numPr>
        <w:suppressAutoHyphens w:val="0"/>
        <w:spacing w:line="360" w:lineRule="auto"/>
        <w:ind w:left="0" w:right="140" w:firstLine="0"/>
        <w:jc w:val="both"/>
        <w:rPr>
          <w:lang w:val="uk-UA"/>
        </w:rPr>
      </w:pPr>
      <w:r>
        <w:rPr>
          <w:lang w:val="uk-UA"/>
        </w:rPr>
        <w:t>Гудзенко О.П. Дослідження напрямків покращення лікарського забезпечення пільгової категорії населення промислових регіонів – хв</w:t>
      </w:r>
      <w:r>
        <w:rPr>
          <w:lang w:val="uk-UA"/>
        </w:rPr>
        <w:t>о</w:t>
      </w:r>
      <w:r>
        <w:rPr>
          <w:lang w:val="uk-UA"/>
        </w:rPr>
        <w:t>рих на шизофренію шубоподібну і епілепсію // Вісн. фармац. – 2003. – №4. – С. 78-82.</w:t>
      </w:r>
    </w:p>
    <w:p w:rsidR="004A36EF" w:rsidRDefault="004A36EF" w:rsidP="004A36EF">
      <w:pPr>
        <w:pStyle w:val="9"/>
        <w:keepNext w:val="0"/>
        <w:rPr>
          <w:b w:val="0"/>
          <w:bCs w:val="0"/>
          <w:sz w:val="24"/>
          <w:lang w:val="uk-UA"/>
        </w:rPr>
      </w:pPr>
      <w:r>
        <w:rPr>
          <w:b w:val="0"/>
          <w:bCs w:val="0"/>
          <w:sz w:val="24"/>
          <w:lang w:val="uk-UA"/>
        </w:rPr>
        <w:t>Підручник</w:t>
      </w:r>
    </w:p>
    <w:p w:rsidR="004A36EF" w:rsidRDefault="004A36EF" w:rsidP="004A36EF">
      <w:pPr>
        <w:widowControl w:val="0"/>
        <w:spacing w:line="360" w:lineRule="auto"/>
        <w:ind w:firstLine="426"/>
        <w:jc w:val="both"/>
        <w:rPr>
          <w:b/>
          <w:bCs/>
          <w:lang w:val="uk-UA"/>
        </w:rPr>
      </w:pPr>
      <w:r>
        <w:rPr>
          <w:lang w:val="uk-UA"/>
        </w:rPr>
        <w:t>Фармацевтические и медико-биологические аспекты лекарств: Учебник для слушателей ин</w:t>
      </w:r>
      <w:r>
        <w:rPr>
          <w:lang w:val="uk-UA"/>
        </w:rPr>
        <w:t>с</w:t>
      </w:r>
      <w:r>
        <w:rPr>
          <w:lang w:val="uk-UA"/>
        </w:rPr>
        <w:t>титутов, факультетов повышения квалификации специалистов фармации в 2</w:t>
      </w:r>
      <w:r>
        <w:rPr>
          <w:vertAlign w:val="superscript"/>
          <w:lang w:val="uk-UA"/>
        </w:rPr>
        <w:t>-х</w:t>
      </w:r>
      <w:r>
        <w:rPr>
          <w:lang w:val="uk-UA"/>
        </w:rPr>
        <w:t xml:space="preserve"> томах / И.М. Пе</w:t>
      </w:r>
      <w:r>
        <w:rPr>
          <w:lang w:val="uk-UA"/>
        </w:rPr>
        <w:t>р</w:t>
      </w:r>
      <w:r>
        <w:rPr>
          <w:lang w:val="uk-UA"/>
        </w:rPr>
        <w:t>цев, И.А. Зупанец, Л.Д. Шевченко, А.И. Тихонов, А.Ф. Пиминов, Т.В. Дегтярева, Н.Д. Бунятян, А.Н. Белов, В.С. Бондарь, А.П. Гудзенко и др. – Х.: Изд-во НФаУ, 1999. – 912с. (Дисертантом в</w:t>
      </w:r>
      <w:r>
        <w:rPr>
          <w:lang w:val="uk-UA"/>
        </w:rPr>
        <w:t>и</w:t>
      </w:r>
      <w:r>
        <w:rPr>
          <w:lang w:val="uk-UA"/>
        </w:rPr>
        <w:t>користані дослідження по розробці переліків лікарських засобів для забезпечення пільгових кат</w:t>
      </w:r>
      <w:r>
        <w:rPr>
          <w:lang w:val="uk-UA"/>
        </w:rPr>
        <w:t>е</w:t>
      </w:r>
      <w:r>
        <w:rPr>
          <w:lang w:val="uk-UA"/>
        </w:rPr>
        <w:t>горій населення промислових регіонів, брав участь у написанні тексту пі</w:t>
      </w:r>
      <w:r>
        <w:rPr>
          <w:lang w:val="uk-UA"/>
        </w:rPr>
        <w:t>д</w:t>
      </w:r>
      <w:r>
        <w:rPr>
          <w:lang w:val="uk-UA"/>
        </w:rPr>
        <w:t>ручника).</w:t>
      </w:r>
    </w:p>
    <w:p w:rsidR="004A36EF" w:rsidRDefault="004A36EF" w:rsidP="004A36EF">
      <w:pPr>
        <w:pStyle w:val="9"/>
        <w:keepNext w:val="0"/>
        <w:spacing w:before="120"/>
        <w:ind w:firstLine="0"/>
        <w:rPr>
          <w:b w:val="0"/>
          <w:bCs w:val="0"/>
          <w:sz w:val="24"/>
          <w:lang w:val="uk-UA"/>
        </w:rPr>
      </w:pPr>
      <w:r>
        <w:rPr>
          <w:b w:val="0"/>
          <w:bCs w:val="0"/>
          <w:sz w:val="24"/>
          <w:lang w:val="uk-UA"/>
        </w:rPr>
        <w:t>Посібники</w:t>
      </w:r>
    </w:p>
    <w:p w:rsidR="004A36EF" w:rsidRDefault="004A36EF" w:rsidP="009D5D0C">
      <w:pPr>
        <w:widowControl w:val="0"/>
        <w:numPr>
          <w:ilvl w:val="0"/>
          <w:numId w:val="45"/>
        </w:numPr>
        <w:tabs>
          <w:tab w:val="num" w:pos="426"/>
        </w:tabs>
        <w:suppressAutoHyphens w:val="0"/>
        <w:spacing w:line="360" w:lineRule="auto"/>
        <w:ind w:left="0" w:right="5" w:firstLine="0"/>
        <w:jc w:val="both"/>
        <w:rPr>
          <w:lang w:val="uk-UA"/>
        </w:rPr>
      </w:pPr>
      <w:r>
        <w:rPr>
          <w:lang w:val="uk-UA"/>
        </w:rPr>
        <w:lastRenderedPageBreak/>
        <w:t>Організаційні форми підприємницької діяльності у сучасних умовах: Навч. посібник / В.М. Толочко, Д.Л. Великий, І.В. Міщенко, Т.В. Кожухова, О.П. Гудзенко, М.Л. Сятиня; За ред. В.М. Толочко – Х.: Прапор, 1998. – 230 с. (Дисертантом використані результати особистих досл</w:t>
      </w:r>
      <w:r>
        <w:rPr>
          <w:lang w:val="uk-UA"/>
        </w:rPr>
        <w:t>і</w:t>
      </w:r>
      <w:r>
        <w:rPr>
          <w:lang w:val="uk-UA"/>
        </w:rPr>
        <w:t>джень наукових підходів до удосконалення лікарського забезпечення населення на рівні регіонів, брав участь у написанні тексту посібника).</w:t>
      </w:r>
    </w:p>
    <w:p w:rsidR="004A36EF" w:rsidRDefault="004A36EF" w:rsidP="009D5D0C">
      <w:pPr>
        <w:widowControl w:val="0"/>
        <w:numPr>
          <w:ilvl w:val="0"/>
          <w:numId w:val="45"/>
        </w:numPr>
        <w:tabs>
          <w:tab w:val="num" w:pos="426"/>
        </w:tabs>
        <w:suppressAutoHyphens w:val="0"/>
        <w:spacing w:line="360" w:lineRule="auto"/>
        <w:ind w:left="0" w:right="5" w:firstLine="0"/>
        <w:jc w:val="both"/>
        <w:rPr>
          <w:lang w:val="uk-UA"/>
        </w:rPr>
      </w:pPr>
      <w:r>
        <w:rPr>
          <w:lang w:val="uk-UA"/>
        </w:rPr>
        <w:t>Учебное пособие по аптечной технологии лекарств / А.И. Тихонов, Т.Г. Ярных, А.П. Гудзенко; Под ред. акад. А.И. Тихонова. – Х.: Основа. 1998. – 336 с. (Дисертантом використані особисті ро</w:t>
      </w:r>
      <w:r>
        <w:rPr>
          <w:lang w:val="uk-UA"/>
        </w:rPr>
        <w:t>з</w:t>
      </w:r>
      <w:r>
        <w:rPr>
          <w:lang w:val="uk-UA"/>
        </w:rPr>
        <w:t>робки технології інфузійних розчинів).</w:t>
      </w:r>
    </w:p>
    <w:p w:rsidR="004A36EF" w:rsidRDefault="004A36EF" w:rsidP="004A36EF">
      <w:pPr>
        <w:pStyle w:val="20"/>
        <w:keepNext w:val="0"/>
        <w:spacing w:before="120" w:line="360" w:lineRule="auto"/>
        <w:jc w:val="center"/>
      </w:pPr>
      <w:r>
        <w:rPr>
          <w:b w:val="0"/>
          <w:bCs w:val="0"/>
          <w:sz w:val="24"/>
          <w:szCs w:val="24"/>
        </w:rPr>
        <w:t>Методичні рекомендації</w:t>
      </w:r>
    </w:p>
    <w:p w:rsidR="004A36EF" w:rsidRDefault="004A36EF" w:rsidP="009D5D0C">
      <w:pPr>
        <w:widowControl w:val="0"/>
        <w:numPr>
          <w:ilvl w:val="1"/>
          <w:numId w:val="45"/>
        </w:numPr>
        <w:tabs>
          <w:tab w:val="clear" w:pos="1440"/>
          <w:tab w:val="num" w:pos="360"/>
        </w:tabs>
        <w:suppressAutoHyphens w:val="0"/>
        <w:spacing w:line="360" w:lineRule="auto"/>
        <w:ind w:left="0" w:firstLine="0"/>
        <w:jc w:val="both"/>
        <w:rPr>
          <w:lang w:val="uk-UA"/>
        </w:rPr>
      </w:pPr>
      <w:r>
        <w:rPr>
          <w:lang w:val="uk-UA"/>
        </w:rPr>
        <w:t>Гудзенко О.П., Толочко В.М. Дослідження вітчизняного ринку інфузійних лікарських засобів з метою покращення його стану: Методи</w:t>
      </w:r>
      <w:r>
        <w:rPr>
          <w:lang w:val="uk-UA"/>
        </w:rPr>
        <w:t>ч</w:t>
      </w:r>
      <w:r>
        <w:rPr>
          <w:lang w:val="uk-UA"/>
        </w:rPr>
        <w:t>ні рекомендації. – Х.: Вид-во НФаУ, 2003. – 43 с.</w:t>
      </w:r>
    </w:p>
    <w:p w:rsidR="004A36EF" w:rsidRDefault="004A36EF" w:rsidP="009D5D0C">
      <w:pPr>
        <w:widowControl w:val="0"/>
        <w:numPr>
          <w:ilvl w:val="1"/>
          <w:numId w:val="45"/>
        </w:numPr>
        <w:tabs>
          <w:tab w:val="clear" w:pos="1440"/>
          <w:tab w:val="num" w:pos="360"/>
        </w:tabs>
        <w:suppressAutoHyphens w:val="0"/>
        <w:spacing w:line="360" w:lineRule="auto"/>
        <w:ind w:left="0" w:firstLine="0"/>
        <w:jc w:val="both"/>
        <w:rPr>
          <w:lang w:val="uk-UA"/>
        </w:rPr>
      </w:pPr>
      <w:r>
        <w:rPr>
          <w:lang w:val="uk-UA"/>
        </w:rPr>
        <w:t xml:space="preserve">Гудзенко О.П., Толочко В.М. </w:t>
      </w:r>
      <w:r>
        <w:rPr>
          <w:color w:val="000000"/>
          <w:lang w:val="uk-UA"/>
        </w:rPr>
        <w:t>Фармакоекономічні стандарти лікарського забезпечення пільгової категорії населення промислових регі</w:t>
      </w:r>
      <w:r>
        <w:rPr>
          <w:color w:val="000000"/>
          <w:lang w:val="uk-UA"/>
        </w:rPr>
        <w:t>о</w:t>
      </w:r>
      <w:r>
        <w:rPr>
          <w:color w:val="000000"/>
          <w:lang w:val="uk-UA"/>
        </w:rPr>
        <w:t>нів – учасників та інвалідів війни і прирівняних до них: Методичні рекомендації. – Х.: Вид-во НФаУ, 2003. – 20 с.</w:t>
      </w:r>
    </w:p>
    <w:p w:rsidR="004A36EF" w:rsidRDefault="004A36EF" w:rsidP="009D5D0C">
      <w:pPr>
        <w:widowControl w:val="0"/>
        <w:numPr>
          <w:ilvl w:val="1"/>
          <w:numId w:val="45"/>
        </w:numPr>
        <w:tabs>
          <w:tab w:val="clear" w:pos="1440"/>
          <w:tab w:val="num" w:pos="360"/>
        </w:tabs>
        <w:suppressAutoHyphens w:val="0"/>
        <w:spacing w:line="360" w:lineRule="auto"/>
        <w:ind w:left="0" w:firstLine="0"/>
        <w:jc w:val="both"/>
        <w:rPr>
          <w:color w:val="000000"/>
          <w:lang w:val="uk-UA"/>
        </w:rPr>
      </w:pPr>
      <w:r>
        <w:rPr>
          <w:lang w:val="uk-UA"/>
        </w:rPr>
        <w:t xml:space="preserve">Гудзенко О.П., Толочко В.М. </w:t>
      </w:r>
      <w:r>
        <w:rPr>
          <w:color w:val="000000"/>
          <w:lang w:val="uk-UA"/>
        </w:rPr>
        <w:t>Фармакоекономічні стандарти лікарського забезпечення пільг</w:t>
      </w:r>
      <w:r>
        <w:rPr>
          <w:color w:val="000000"/>
          <w:lang w:val="uk-UA"/>
        </w:rPr>
        <w:t>о</w:t>
      </w:r>
      <w:r>
        <w:rPr>
          <w:color w:val="000000"/>
          <w:lang w:val="uk-UA"/>
        </w:rPr>
        <w:t>вої категорії населення промислових регіонів – хворих цукровим і нецукровим діабетом : Метод</w:t>
      </w:r>
      <w:r>
        <w:rPr>
          <w:color w:val="000000"/>
          <w:lang w:val="uk-UA"/>
        </w:rPr>
        <w:t>и</w:t>
      </w:r>
      <w:r>
        <w:rPr>
          <w:color w:val="000000"/>
          <w:lang w:val="uk-UA"/>
        </w:rPr>
        <w:t>чні рекомендації. – Х.: Вид-во НФаУ, 2003. – 24 с.</w:t>
      </w:r>
    </w:p>
    <w:p w:rsidR="004A36EF" w:rsidRDefault="004A36EF" w:rsidP="009D5D0C">
      <w:pPr>
        <w:widowControl w:val="0"/>
        <w:numPr>
          <w:ilvl w:val="1"/>
          <w:numId w:val="45"/>
        </w:numPr>
        <w:tabs>
          <w:tab w:val="clear" w:pos="1440"/>
          <w:tab w:val="num" w:pos="360"/>
        </w:tabs>
        <w:suppressAutoHyphens w:val="0"/>
        <w:spacing w:line="360" w:lineRule="auto"/>
        <w:ind w:left="0" w:firstLine="0"/>
        <w:jc w:val="both"/>
        <w:rPr>
          <w:color w:val="000000"/>
          <w:lang w:val="uk-UA"/>
        </w:rPr>
      </w:pPr>
      <w:r>
        <w:rPr>
          <w:lang w:val="uk-UA"/>
        </w:rPr>
        <w:t xml:space="preserve">Гудзенко О.П., Толочко В.М. </w:t>
      </w:r>
      <w:r>
        <w:rPr>
          <w:color w:val="000000"/>
          <w:lang w:val="uk-UA"/>
        </w:rPr>
        <w:t>Фармакоекономічні стандарти лікарського забезпечення пільг</w:t>
      </w:r>
      <w:r>
        <w:rPr>
          <w:color w:val="000000"/>
          <w:lang w:val="uk-UA"/>
        </w:rPr>
        <w:t>о</w:t>
      </w:r>
      <w:r>
        <w:rPr>
          <w:color w:val="000000"/>
          <w:lang w:val="uk-UA"/>
        </w:rPr>
        <w:t>вої категорії населення промислових регіонів – онкохворих (рак легенів і молочної залози) : Мет</w:t>
      </w:r>
      <w:r>
        <w:rPr>
          <w:color w:val="000000"/>
          <w:lang w:val="uk-UA"/>
        </w:rPr>
        <w:t>о</w:t>
      </w:r>
      <w:r>
        <w:rPr>
          <w:color w:val="000000"/>
          <w:lang w:val="uk-UA"/>
        </w:rPr>
        <w:t>дичні рекомендації. – Х.: Вид-во НФаУ, 2003. – 19 с.</w:t>
      </w:r>
    </w:p>
    <w:p w:rsidR="004A36EF" w:rsidRDefault="004A36EF" w:rsidP="009D5D0C">
      <w:pPr>
        <w:widowControl w:val="0"/>
        <w:numPr>
          <w:ilvl w:val="1"/>
          <w:numId w:val="45"/>
        </w:numPr>
        <w:tabs>
          <w:tab w:val="clear" w:pos="1440"/>
          <w:tab w:val="num" w:pos="360"/>
        </w:tabs>
        <w:suppressAutoHyphens w:val="0"/>
        <w:spacing w:line="360" w:lineRule="auto"/>
        <w:ind w:left="0" w:firstLine="0"/>
        <w:jc w:val="both"/>
        <w:rPr>
          <w:color w:val="000000"/>
          <w:lang w:val="uk-UA"/>
        </w:rPr>
      </w:pPr>
      <w:r>
        <w:rPr>
          <w:lang w:val="uk-UA"/>
        </w:rPr>
        <w:t xml:space="preserve">Гудзенко О.П., Толочко В.М. </w:t>
      </w:r>
      <w:r>
        <w:rPr>
          <w:color w:val="000000"/>
          <w:lang w:val="uk-UA"/>
        </w:rPr>
        <w:t>Фармакоекономічні стандарти лікарського забезпечення пільг</w:t>
      </w:r>
      <w:r>
        <w:rPr>
          <w:color w:val="000000"/>
          <w:lang w:val="uk-UA"/>
        </w:rPr>
        <w:t>о</w:t>
      </w:r>
      <w:r>
        <w:rPr>
          <w:color w:val="000000"/>
          <w:lang w:val="uk-UA"/>
        </w:rPr>
        <w:t>вої категорії населення промислових регіонів – хворих на шизофренію шубоподібну та еп</w:t>
      </w:r>
      <w:r>
        <w:rPr>
          <w:color w:val="000000"/>
          <w:lang w:val="uk-UA"/>
        </w:rPr>
        <w:t>і</w:t>
      </w:r>
      <w:r>
        <w:rPr>
          <w:color w:val="000000"/>
          <w:lang w:val="uk-UA"/>
        </w:rPr>
        <w:t>лепсію : Методичні рекомендації. – Х.: Вид-во НФаУ, 2003. – 20 с.</w:t>
      </w:r>
    </w:p>
    <w:p w:rsidR="004A36EF" w:rsidRDefault="004A36EF" w:rsidP="004A36EF">
      <w:pPr>
        <w:pStyle w:val="20"/>
        <w:keepNext w:val="0"/>
        <w:spacing w:before="120" w:line="360" w:lineRule="auto"/>
        <w:jc w:val="center"/>
        <w:rPr>
          <w:b w:val="0"/>
          <w:bCs w:val="0"/>
          <w:sz w:val="24"/>
          <w:szCs w:val="24"/>
        </w:rPr>
      </w:pPr>
      <w:r>
        <w:rPr>
          <w:b w:val="0"/>
          <w:bCs w:val="0"/>
          <w:sz w:val="24"/>
          <w:szCs w:val="24"/>
        </w:rPr>
        <w:t>Тези доповідей на конференціях</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До питання про ринок ферментних препаратів з урахуванням здоров’я студентів / В.М. Тол</w:t>
      </w:r>
      <w:r>
        <w:rPr>
          <w:lang w:val="uk-UA"/>
        </w:rPr>
        <w:t>о</w:t>
      </w:r>
      <w:r>
        <w:rPr>
          <w:lang w:val="uk-UA"/>
        </w:rPr>
        <w:t>чко, О.В. Ахмад, О.П. Гудзенко, М.М. Богданов // Роль вузів у вирішенні проблем безпере</w:t>
      </w:r>
      <w:r>
        <w:rPr>
          <w:lang w:val="uk-UA"/>
        </w:rPr>
        <w:t>р</w:t>
      </w:r>
      <w:r>
        <w:rPr>
          <w:lang w:val="uk-UA"/>
        </w:rPr>
        <w:t>вної освіти та виховання особистості (від шкільної до післядипломної): Матеріали міжнар. наук.-метод. конф. – К., 1995. – С.89-90. (Дисертантом використані матеріали особистого дослідження стану здоров’я населення промисл</w:t>
      </w:r>
      <w:r>
        <w:rPr>
          <w:lang w:val="uk-UA"/>
        </w:rPr>
        <w:t>о</w:t>
      </w:r>
      <w:r>
        <w:rPr>
          <w:lang w:val="uk-UA"/>
        </w:rPr>
        <w:t>вих регіонів, брав участь у написанні тексту тез доповіді, з якою виступав на конференції).</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О.П., Толочко В.М. Господарсько-фінансова діяльність аптечної мережі в умовах ринку // Актуальні проблеми фармацевтичного маркетингу: Наук.-практ. конф. – Х.: Основа, 1999. – С.96-97. (Дисертантом використані результати особистих досліджень затратного механ</w:t>
      </w:r>
      <w:r>
        <w:rPr>
          <w:lang w:val="uk-UA"/>
        </w:rPr>
        <w:t>і</w:t>
      </w:r>
      <w:r>
        <w:rPr>
          <w:lang w:val="uk-UA"/>
        </w:rPr>
        <w:t xml:space="preserve">зму на лікарське забезпечення пільгових категорій населення промислових </w:t>
      </w:r>
      <w:r>
        <w:rPr>
          <w:lang w:val="uk-UA"/>
        </w:rPr>
        <w:lastRenderedPageBreak/>
        <w:t>регіонів, виступав з доповіддю).</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Толочко В.М., Гудзенко О.П. Дослідження стану лікарського забезпечення пільгового конт</w:t>
      </w:r>
      <w:r>
        <w:rPr>
          <w:lang w:val="uk-UA"/>
        </w:rPr>
        <w:t>и</w:t>
      </w:r>
      <w:r>
        <w:rPr>
          <w:lang w:val="uk-UA"/>
        </w:rPr>
        <w:t>нгенту населення // Всеукр. наук.-практ. конф. “Вчені України – вітчизняній фармації”. – Х.: Вид-во НФАУ. – 2000. – С.48. (Представлені матеріали особистих досліджень, підгот</w:t>
      </w:r>
      <w:r>
        <w:rPr>
          <w:lang w:val="uk-UA"/>
        </w:rPr>
        <w:t>о</w:t>
      </w:r>
      <w:r>
        <w:rPr>
          <w:lang w:val="uk-UA"/>
        </w:rPr>
        <w:t>влені тези доповіді, з якою виступав дисертант).</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А.П., Толочко В.М. Проблемы и пути усовершенствования лекарственного обесп</w:t>
      </w:r>
      <w:r>
        <w:rPr>
          <w:lang w:val="uk-UA"/>
        </w:rPr>
        <w:t>е</w:t>
      </w:r>
      <w:r>
        <w:rPr>
          <w:lang w:val="uk-UA"/>
        </w:rPr>
        <w:t>чения льготных категорий населения в промышленных регионах // Здобутки та перспективи ро</w:t>
      </w:r>
      <w:r>
        <w:rPr>
          <w:lang w:val="uk-UA"/>
        </w:rPr>
        <w:t>з</w:t>
      </w:r>
      <w:r>
        <w:rPr>
          <w:lang w:val="uk-UA"/>
        </w:rPr>
        <w:t>витку управління фармацевтичними організаціями в умовах ринкової економіки: Матеріали М</w:t>
      </w:r>
      <w:r>
        <w:rPr>
          <w:lang w:val="uk-UA"/>
        </w:rPr>
        <w:t>і</w:t>
      </w:r>
      <w:r>
        <w:rPr>
          <w:lang w:val="uk-UA"/>
        </w:rPr>
        <w:t>жнар. наук.-практ. конф. – Х.: Вид-во НФаУ, 2003. – С.202-204.(Дисертантом підготовлені тези доповіді за матеріалами особи</w:t>
      </w:r>
      <w:r>
        <w:rPr>
          <w:lang w:val="uk-UA"/>
        </w:rPr>
        <w:t>с</w:t>
      </w:r>
      <w:r>
        <w:rPr>
          <w:lang w:val="uk-UA"/>
        </w:rPr>
        <w:t>тих досліджень, з якою виступав на конференції).</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О.П. Організаційно-правові та економічні проблеми практичної фармації на при</w:t>
      </w:r>
      <w:r>
        <w:rPr>
          <w:lang w:val="uk-UA"/>
        </w:rPr>
        <w:t>к</w:t>
      </w:r>
      <w:r>
        <w:rPr>
          <w:lang w:val="uk-UA"/>
        </w:rPr>
        <w:t>ладі діяльності комунального аптечного підприємства // Наука і соціальні проблеми суспільс</w:t>
      </w:r>
      <w:r>
        <w:rPr>
          <w:lang w:val="uk-UA"/>
        </w:rPr>
        <w:t>т</w:t>
      </w:r>
      <w:r>
        <w:rPr>
          <w:lang w:val="uk-UA"/>
        </w:rPr>
        <w:t>ва: медицина, фармація, біотехнологія: ΙΙΙ Міжнародна наук.-практ. конф. – Х.: Вид-во НФаУ, 2003. – С.93. (Дисертантом проведені особисто дослідження, результати науково обґрунтовані, написані тези доповіді, з якою в</w:t>
      </w:r>
      <w:r>
        <w:rPr>
          <w:lang w:val="uk-UA"/>
        </w:rPr>
        <w:t>и</w:t>
      </w:r>
      <w:r>
        <w:rPr>
          <w:lang w:val="uk-UA"/>
        </w:rPr>
        <w:t>ступав).</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Толочко В.М., Гудзенко О.П. Нові напрямки в системі післядипломної освіти провізорів // Історія та перспективи розвитку післядипл</w:t>
      </w:r>
      <w:r>
        <w:rPr>
          <w:lang w:val="uk-UA"/>
        </w:rPr>
        <w:t>о</w:t>
      </w:r>
      <w:r>
        <w:rPr>
          <w:lang w:val="uk-UA"/>
        </w:rPr>
        <w:t>мної освіти лікарів: Наук.-практ. конф. – Одеса, 2002. – С.255-256. (Дисертантом обґрунтовані пропозиції до навчальних програм післядипломної осв</w:t>
      </w:r>
      <w:r>
        <w:rPr>
          <w:lang w:val="uk-UA"/>
        </w:rPr>
        <w:t>і</w:t>
      </w:r>
      <w:r>
        <w:rPr>
          <w:lang w:val="uk-UA"/>
        </w:rPr>
        <w:t>ти, підготовлені тези доповіді).</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О.П. Дослідження ринку інфузійних розчинів з метою покращення лікарського з</w:t>
      </w:r>
      <w:r>
        <w:rPr>
          <w:lang w:val="uk-UA"/>
        </w:rPr>
        <w:t>а</w:t>
      </w:r>
      <w:r>
        <w:rPr>
          <w:lang w:val="uk-UA"/>
        </w:rPr>
        <w:t>безпечення пільгових категорій населення // Фармація ΧΧΙ століття: Матеріали Всеукр. наук.-практ. конф. – Х.: Вид-во НФаУ: Золоті сторінки, 2002. – С.221-222.</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О.П., Тихонов А.И., Постольник И.Е. Осмолярность инфузионных растворов – одно из главных при их применении и производстве // Лекарства – человеку. – Том XVII, №1. – Х., 2002. – С.36-37. (Дисертант брав участь у дослідженнях і підготовці доповіді)</w:t>
      </w:r>
    </w:p>
    <w:p w:rsidR="004A36EF" w:rsidRDefault="004A36EF" w:rsidP="009D5D0C">
      <w:pPr>
        <w:widowControl w:val="0"/>
        <w:numPr>
          <w:ilvl w:val="0"/>
          <w:numId w:val="46"/>
        </w:numPr>
        <w:tabs>
          <w:tab w:val="num" w:pos="630"/>
        </w:tabs>
        <w:suppressAutoHyphens w:val="0"/>
        <w:spacing w:line="360" w:lineRule="auto"/>
        <w:ind w:left="0" w:right="140" w:firstLine="0"/>
        <w:jc w:val="both"/>
        <w:rPr>
          <w:lang w:val="uk-UA"/>
        </w:rPr>
      </w:pPr>
      <w:r>
        <w:rPr>
          <w:lang w:val="uk-UA"/>
        </w:rPr>
        <w:t>Гудзенко А.П., Барнатович С.В. ЛОКПП “Фармация”: Теория и практика фармацевтического маркетинга // Здобутки та перспективи розвитку управління фармацевтичними організаціями в умовах ринкової економіки: Матеріали Міжнар. наук.-прак. конф. – Х., 2003. – С.104-107. (Дис</w:t>
      </w:r>
      <w:r>
        <w:rPr>
          <w:lang w:val="uk-UA"/>
        </w:rPr>
        <w:t>е</w:t>
      </w:r>
      <w:r>
        <w:rPr>
          <w:lang w:val="uk-UA"/>
        </w:rPr>
        <w:t>ртантом використані результати особистих досліджень цінового чинника лікарського забезп</w:t>
      </w:r>
      <w:r>
        <w:rPr>
          <w:lang w:val="uk-UA"/>
        </w:rPr>
        <w:t>е</w:t>
      </w:r>
      <w:r>
        <w:rPr>
          <w:lang w:val="uk-UA"/>
        </w:rPr>
        <w:t>чення населення на рівні промислового регіону, підготовлені тези доповіді, з якою виступив на конференції).</w:t>
      </w:r>
    </w:p>
    <w:p w:rsidR="004A36EF" w:rsidRDefault="004A36EF" w:rsidP="009D5D0C">
      <w:pPr>
        <w:pStyle w:val="afffffff8"/>
        <w:widowControl w:val="0"/>
        <w:numPr>
          <w:ilvl w:val="0"/>
          <w:numId w:val="46"/>
        </w:numPr>
        <w:suppressAutoHyphens w:val="0"/>
        <w:spacing w:after="0" w:line="360" w:lineRule="auto"/>
        <w:ind w:left="0" w:firstLine="0"/>
        <w:jc w:val="both"/>
      </w:pPr>
      <w:r>
        <w:t>Гудзенко А.П. ЛОКПП “Фармация”: Актуальные проблемы ценообразования на лекарстве</w:t>
      </w:r>
      <w:r>
        <w:t>н</w:t>
      </w:r>
      <w:r>
        <w:t>ные средства // Здобутки та перспективи розвитку управління фармацевтичними орг</w:t>
      </w:r>
      <w:r>
        <w:t>а</w:t>
      </w:r>
      <w:r>
        <w:t xml:space="preserve">нізаціями в умовах ринкової </w:t>
      </w:r>
      <w:r>
        <w:lastRenderedPageBreak/>
        <w:t>економіки: Матеріали Міжнар. наук.-практ. конф. – Х., 2003. – С.123-125.</w:t>
      </w:r>
    </w:p>
    <w:p w:rsidR="004A36EF" w:rsidRDefault="004A36EF" w:rsidP="009D5D0C">
      <w:pPr>
        <w:pStyle w:val="afffffff8"/>
        <w:widowControl w:val="0"/>
        <w:numPr>
          <w:ilvl w:val="0"/>
          <w:numId w:val="46"/>
        </w:numPr>
        <w:suppressAutoHyphens w:val="0"/>
        <w:spacing w:after="0" w:line="360" w:lineRule="auto"/>
        <w:ind w:left="0" w:firstLine="0"/>
        <w:jc w:val="both"/>
      </w:pPr>
      <w:r>
        <w:t>Гудзенко О.П. Сучасні підходи до вирішення проблеми підвищення кваліфікації спеціалістів в комунальному аптечному підприємстві // Система післядипломної освіти спеціалістів у ХХІ ст</w:t>
      </w:r>
      <w:r>
        <w:t>о</w:t>
      </w:r>
      <w:r>
        <w:t>літті: Матеріали Всеукр. наук.-практ. конф. – Х.: Вид-во НФаУ, 2003. – С.81.</w:t>
      </w:r>
    </w:p>
    <w:p w:rsidR="004A36EF" w:rsidRDefault="004A36EF" w:rsidP="004A36EF">
      <w:pPr>
        <w:pStyle w:val="afffffff8"/>
        <w:ind w:firstLine="567"/>
        <w:jc w:val="both"/>
        <w:rPr>
          <w:color w:val="000000"/>
        </w:rPr>
      </w:pPr>
    </w:p>
    <w:p w:rsidR="004A36EF" w:rsidRDefault="004A36EF" w:rsidP="004A36EF">
      <w:pPr>
        <w:pStyle w:val="afffffff8"/>
        <w:ind w:firstLine="567"/>
        <w:jc w:val="both"/>
        <w:rPr>
          <w:b/>
          <w:bCs/>
          <w:color w:val="000000"/>
        </w:rPr>
      </w:pPr>
      <w:r>
        <w:rPr>
          <w:b/>
          <w:bCs/>
          <w:color w:val="000000"/>
        </w:rPr>
        <w:t>Гудзенко О.П. Наукові основи удосконалення лікарського забезпечення пільгових к</w:t>
      </w:r>
      <w:r>
        <w:rPr>
          <w:b/>
          <w:bCs/>
          <w:color w:val="000000"/>
        </w:rPr>
        <w:t>а</w:t>
      </w:r>
      <w:r>
        <w:rPr>
          <w:b/>
          <w:bCs/>
          <w:color w:val="000000"/>
        </w:rPr>
        <w:t>тегорій населення промислових регіонів. – Рук</w:t>
      </w:r>
      <w:r>
        <w:rPr>
          <w:b/>
          <w:bCs/>
          <w:color w:val="000000"/>
        </w:rPr>
        <w:t>о</w:t>
      </w:r>
      <w:r>
        <w:rPr>
          <w:b/>
          <w:bCs/>
          <w:color w:val="000000"/>
        </w:rPr>
        <w:t>пис.</w:t>
      </w:r>
    </w:p>
    <w:p w:rsidR="004A36EF" w:rsidRDefault="004A36EF" w:rsidP="004A36EF">
      <w:pPr>
        <w:pStyle w:val="afffffff8"/>
        <w:ind w:firstLine="567"/>
        <w:jc w:val="both"/>
        <w:rPr>
          <w:color w:val="000000"/>
        </w:rPr>
      </w:pPr>
      <w:r>
        <w:rPr>
          <w:color w:val="000000"/>
        </w:rPr>
        <w:t>Дисертація на здобуття наукового ступеня доктора фармацевтичних наук за спеціальністю 15.00.01. – технологія ліків та організація фармацевтичної справи. – Національний фармацевти</w:t>
      </w:r>
      <w:r>
        <w:rPr>
          <w:color w:val="000000"/>
        </w:rPr>
        <w:t>ч</w:t>
      </w:r>
      <w:r>
        <w:rPr>
          <w:color w:val="000000"/>
        </w:rPr>
        <w:t>ний університет, Харків, 2004.</w:t>
      </w:r>
    </w:p>
    <w:p w:rsidR="004A36EF" w:rsidRDefault="004A36EF" w:rsidP="004A36EF">
      <w:pPr>
        <w:pStyle w:val="afffffff8"/>
        <w:ind w:firstLine="567"/>
        <w:jc w:val="both"/>
        <w:rPr>
          <w:color w:val="000000"/>
        </w:rPr>
      </w:pPr>
      <w:r>
        <w:rPr>
          <w:color w:val="000000"/>
        </w:rPr>
        <w:t>Дисертація присвячена обґрунтуванню наукових основ удосконалення лікарського забезп</w:t>
      </w:r>
      <w:r>
        <w:rPr>
          <w:color w:val="000000"/>
        </w:rPr>
        <w:t>е</w:t>
      </w:r>
      <w:r>
        <w:rPr>
          <w:color w:val="000000"/>
        </w:rPr>
        <w:t>чення пільгових категорій населення промислових регіонів шляхом створення його стандартиз</w:t>
      </w:r>
      <w:r>
        <w:rPr>
          <w:color w:val="000000"/>
        </w:rPr>
        <w:t>о</w:t>
      </w:r>
      <w:r>
        <w:rPr>
          <w:color w:val="000000"/>
        </w:rPr>
        <w:t>ваних варіантів та розширення регіонального виробництва ліків. Запропоновані станда</w:t>
      </w:r>
      <w:r>
        <w:rPr>
          <w:color w:val="000000"/>
        </w:rPr>
        <w:t>р</w:t>
      </w:r>
      <w:r>
        <w:rPr>
          <w:color w:val="000000"/>
        </w:rPr>
        <w:t>тизовані варіанти лікарського забезпечення пільгових категорій населення промислових регіонів, які баз</w:t>
      </w:r>
      <w:r>
        <w:rPr>
          <w:color w:val="000000"/>
        </w:rPr>
        <w:t>у</w:t>
      </w:r>
      <w:r>
        <w:rPr>
          <w:color w:val="000000"/>
        </w:rPr>
        <w:t>ються на мінімізації витрат шляхом оцінки фармакотерапевтичної дії за різними сх</w:t>
      </w:r>
      <w:r>
        <w:rPr>
          <w:color w:val="000000"/>
        </w:rPr>
        <w:t>е</w:t>
      </w:r>
      <w:r>
        <w:rPr>
          <w:color w:val="000000"/>
        </w:rPr>
        <w:t>мами поєднань лікарських засобів. Передбачена можливість вибору стандартизованих варі</w:t>
      </w:r>
      <w:r>
        <w:rPr>
          <w:color w:val="000000"/>
        </w:rPr>
        <w:t>а</w:t>
      </w:r>
      <w:r>
        <w:rPr>
          <w:color w:val="000000"/>
        </w:rPr>
        <w:t>нтів у залежності від медичних показань стану хворого та наявності коштів на придбання лікарських засобів. Стандартизовані варіанти ро</w:t>
      </w:r>
      <w:r>
        <w:rPr>
          <w:color w:val="000000"/>
        </w:rPr>
        <w:t>з</w:t>
      </w:r>
      <w:r>
        <w:rPr>
          <w:color w:val="000000"/>
        </w:rPr>
        <w:t>глядаються як системно обґрунтовані положення лікарського забезпечення пільгових категорій населення промислових регіонів в допомогу регіональним з</w:t>
      </w:r>
      <w:r>
        <w:rPr>
          <w:color w:val="000000"/>
        </w:rPr>
        <w:t>а</w:t>
      </w:r>
      <w:r>
        <w:rPr>
          <w:color w:val="000000"/>
        </w:rPr>
        <w:t>кладам охорони здоров’я, профільним лікувально-профілактичним установам щодо формування та контролю ко</w:t>
      </w:r>
      <w:r>
        <w:rPr>
          <w:color w:val="000000"/>
        </w:rPr>
        <w:t>ш</w:t>
      </w:r>
      <w:r>
        <w:rPr>
          <w:color w:val="000000"/>
        </w:rPr>
        <w:t>тів на їх придбання, для побудови певної лікарської тактики. До стандартизованих варіантів уві</w:t>
      </w:r>
      <w:r>
        <w:rPr>
          <w:color w:val="000000"/>
        </w:rPr>
        <w:t>й</w:t>
      </w:r>
      <w:r>
        <w:rPr>
          <w:color w:val="000000"/>
        </w:rPr>
        <w:t>шли стандарти лікарського забезпечення інвалідів, учасників війни та прирівняних до них (16 ст</w:t>
      </w:r>
      <w:r>
        <w:rPr>
          <w:color w:val="000000"/>
        </w:rPr>
        <w:t>а</w:t>
      </w:r>
      <w:r>
        <w:rPr>
          <w:color w:val="000000"/>
        </w:rPr>
        <w:t>ндартів), хворих раком легенів і молочної залози (14 стандартів), хворих цукровим і нецукр</w:t>
      </w:r>
      <w:r>
        <w:rPr>
          <w:color w:val="000000"/>
        </w:rPr>
        <w:t>о</w:t>
      </w:r>
      <w:r>
        <w:rPr>
          <w:color w:val="000000"/>
        </w:rPr>
        <w:t>вим діабетом (25 стандартів), хворих на шизофренію шубоподібну і епілепсію (18 станд</w:t>
      </w:r>
      <w:r>
        <w:rPr>
          <w:color w:val="000000"/>
        </w:rPr>
        <w:t>а</w:t>
      </w:r>
      <w:r>
        <w:rPr>
          <w:color w:val="000000"/>
        </w:rPr>
        <w:t>ртів).</w:t>
      </w:r>
    </w:p>
    <w:p w:rsidR="004A36EF" w:rsidRDefault="004A36EF" w:rsidP="004A36EF">
      <w:pPr>
        <w:pStyle w:val="afffffff8"/>
        <w:ind w:firstLine="567"/>
        <w:jc w:val="both"/>
        <w:rPr>
          <w:color w:val="000000"/>
        </w:rPr>
      </w:pPr>
      <w:r>
        <w:rPr>
          <w:color w:val="000000"/>
        </w:rPr>
        <w:t>Науково обґрунтована технологія регіонального виготовлення, методи контролю якості ро</w:t>
      </w:r>
      <w:r>
        <w:rPr>
          <w:color w:val="000000"/>
        </w:rPr>
        <w:t>з</w:t>
      </w:r>
      <w:r>
        <w:rPr>
          <w:color w:val="000000"/>
        </w:rPr>
        <w:t>чинів “Реополіглюкін” і “Трисіль” в полівінілхлоридній упаковці для забезпечення пільгових кат</w:t>
      </w:r>
      <w:r>
        <w:rPr>
          <w:color w:val="000000"/>
        </w:rPr>
        <w:t>е</w:t>
      </w:r>
      <w:r>
        <w:rPr>
          <w:color w:val="000000"/>
        </w:rPr>
        <w:t>горій населення. Проведені фізико-хімічні дослідження цих розчинів в полівінілхлоридній упак</w:t>
      </w:r>
      <w:r>
        <w:rPr>
          <w:color w:val="000000"/>
        </w:rPr>
        <w:t>о</w:t>
      </w:r>
      <w:r>
        <w:rPr>
          <w:color w:val="000000"/>
        </w:rPr>
        <w:t>вці в процесі тривалого зберігання. Отримані дані щодо проникності води та іонів солей в полів</w:t>
      </w:r>
      <w:r>
        <w:rPr>
          <w:color w:val="000000"/>
        </w:rPr>
        <w:t>і</w:t>
      </w:r>
      <w:r>
        <w:rPr>
          <w:color w:val="000000"/>
        </w:rPr>
        <w:t>нілхлоридній тарі. Визначено значення осмолярності інфузійних розчинів “Реополіглюкін” і “Тр</w:t>
      </w:r>
      <w:r>
        <w:rPr>
          <w:color w:val="000000"/>
        </w:rPr>
        <w:t>и</w:t>
      </w:r>
      <w:r>
        <w:rPr>
          <w:color w:val="000000"/>
        </w:rPr>
        <w:t>сіль”. Підготовлений блок необхідної  АНД.</w:t>
      </w:r>
    </w:p>
    <w:p w:rsidR="004A36EF" w:rsidRDefault="004A36EF" w:rsidP="004A36EF">
      <w:pPr>
        <w:pStyle w:val="afffffff8"/>
        <w:ind w:firstLine="561"/>
        <w:jc w:val="both"/>
        <w:rPr>
          <w:color w:val="000000"/>
        </w:rPr>
      </w:pPr>
      <w:r>
        <w:rPr>
          <w:color w:val="000000"/>
        </w:rPr>
        <w:t>Ключові слова: пільгові категорії населення, промислові регіони, лікарське забезпечення населення, фінансування пільгового забезп</w:t>
      </w:r>
      <w:r>
        <w:rPr>
          <w:color w:val="000000"/>
        </w:rPr>
        <w:t>е</w:t>
      </w:r>
      <w:r>
        <w:rPr>
          <w:color w:val="000000"/>
        </w:rPr>
        <w:t xml:space="preserve">чення лікарськими засобами, стандартизовані варіанти, фармакоекономічні </w:t>
      </w:r>
      <w:r>
        <w:rPr>
          <w:color w:val="000000"/>
        </w:rPr>
        <w:lastRenderedPageBreak/>
        <w:t>стандарти, інфузійні розчини, полівінілхлоридна упаковка, регіональне виро</w:t>
      </w:r>
      <w:r>
        <w:rPr>
          <w:color w:val="000000"/>
        </w:rPr>
        <w:t>б</w:t>
      </w:r>
      <w:r>
        <w:rPr>
          <w:color w:val="000000"/>
        </w:rPr>
        <w:t>ництво лікарських засобів.</w:t>
      </w:r>
    </w:p>
    <w:p w:rsidR="004A36EF" w:rsidRDefault="004A36EF" w:rsidP="004A36EF">
      <w:pPr>
        <w:pStyle w:val="afffffff8"/>
        <w:ind w:firstLine="567"/>
        <w:jc w:val="both"/>
        <w:rPr>
          <w:color w:val="000000"/>
        </w:rPr>
      </w:pPr>
    </w:p>
    <w:p w:rsidR="004A36EF" w:rsidRDefault="004A36EF" w:rsidP="004A36EF">
      <w:pPr>
        <w:pStyle w:val="afffffff8"/>
        <w:ind w:firstLine="567"/>
        <w:jc w:val="both"/>
        <w:rPr>
          <w:b/>
          <w:bCs/>
          <w:color w:val="000000"/>
        </w:rPr>
      </w:pPr>
      <w:r>
        <w:rPr>
          <w:b/>
          <w:bCs/>
          <w:color w:val="000000"/>
        </w:rPr>
        <w:t>Гудзенко О.П. Научные основы усовершенствования лекарственного обеспечения льготных категорий населения промышленных р</w:t>
      </w:r>
      <w:r>
        <w:rPr>
          <w:b/>
          <w:bCs/>
          <w:color w:val="000000"/>
        </w:rPr>
        <w:t>е</w:t>
      </w:r>
      <w:r>
        <w:rPr>
          <w:b/>
          <w:bCs/>
          <w:color w:val="000000"/>
        </w:rPr>
        <w:t>гионов. – Рукопись.</w:t>
      </w:r>
    </w:p>
    <w:p w:rsidR="004A36EF" w:rsidRDefault="004A36EF" w:rsidP="004A36EF">
      <w:pPr>
        <w:pStyle w:val="afffffff8"/>
        <w:spacing w:line="365" w:lineRule="auto"/>
        <w:ind w:firstLine="567"/>
        <w:jc w:val="both"/>
        <w:rPr>
          <w:color w:val="000000"/>
        </w:rPr>
      </w:pPr>
      <w:r>
        <w:rPr>
          <w:color w:val="000000"/>
        </w:rPr>
        <w:t>Диссертация на соискание ученой степени доктора фармацевтических наук по специальн</w:t>
      </w:r>
      <w:r>
        <w:rPr>
          <w:color w:val="000000"/>
        </w:rPr>
        <w:t>о</w:t>
      </w:r>
      <w:r>
        <w:rPr>
          <w:color w:val="000000"/>
        </w:rPr>
        <w:t>сти 15.00.01. – технология лекарств и организация фармацевтического дела. – Национальный фа</w:t>
      </w:r>
      <w:r>
        <w:rPr>
          <w:color w:val="000000"/>
        </w:rPr>
        <w:t>р</w:t>
      </w:r>
      <w:r>
        <w:rPr>
          <w:color w:val="000000"/>
        </w:rPr>
        <w:t>мацевтический университет, Харьков, 2004.</w:t>
      </w:r>
    </w:p>
    <w:p w:rsidR="004A36EF" w:rsidRDefault="004A36EF" w:rsidP="004A36EF">
      <w:pPr>
        <w:pStyle w:val="afffffff8"/>
        <w:spacing w:line="365" w:lineRule="auto"/>
        <w:ind w:firstLine="567"/>
        <w:jc w:val="both"/>
        <w:rPr>
          <w:color w:val="000000"/>
        </w:rPr>
      </w:pPr>
      <w:r>
        <w:rPr>
          <w:color w:val="000000"/>
        </w:rPr>
        <w:t>Очерчен перечень заданий социальной защиты льготных категорий населения промышле</w:t>
      </w:r>
      <w:r>
        <w:rPr>
          <w:color w:val="000000"/>
        </w:rPr>
        <w:t>н</w:t>
      </w:r>
      <w:r>
        <w:rPr>
          <w:color w:val="000000"/>
        </w:rPr>
        <w:t>ных регионов, среди которых рациональное использование средств на государственном и реги</w:t>
      </w:r>
      <w:r>
        <w:rPr>
          <w:color w:val="000000"/>
        </w:rPr>
        <w:t>о</w:t>
      </w:r>
      <w:r>
        <w:rPr>
          <w:color w:val="000000"/>
        </w:rPr>
        <w:t>нальном уровнях для приобретения лекарственных средств, контроль за использованием этих л</w:t>
      </w:r>
      <w:r>
        <w:rPr>
          <w:color w:val="000000"/>
        </w:rPr>
        <w:t>е</w:t>
      </w:r>
      <w:r>
        <w:rPr>
          <w:color w:val="000000"/>
        </w:rPr>
        <w:t>карств по назначению. С этой целью научно обоснованы пути устранения проблем в организ</w:t>
      </w:r>
      <w:r>
        <w:rPr>
          <w:color w:val="000000"/>
        </w:rPr>
        <w:t>а</w:t>
      </w:r>
      <w:r>
        <w:rPr>
          <w:color w:val="000000"/>
        </w:rPr>
        <w:t>ции их лекарственного обеспечения и резервы улучшения за счет внедрения в медицинскую пра</w:t>
      </w:r>
      <w:r>
        <w:rPr>
          <w:color w:val="000000"/>
        </w:rPr>
        <w:t>к</w:t>
      </w:r>
      <w:r>
        <w:rPr>
          <w:color w:val="000000"/>
        </w:rPr>
        <w:t>тику нормирующих механизмов расчета необходимой номенклатуры лекарственных средств и з</w:t>
      </w:r>
      <w:r>
        <w:rPr>
          <w:color w:val="000000"/>
        </w:rPr>
        <w:t>а</w:t>
      </w:r>
      <w:r>
        <w:rPr>
          <w:color w:val="000000"/>
        </w:rPr>
        <w:t>трат на их приобретение, создание и производство доступных за ценами и технологиями лекарстве</w:t>
      </w:r>
      <w:r>
        <w:rPr>
          <w:color w:val="000000"/>
        </w:rPr>
        <w:t>н</w:t>
      </w:r>
      <w:r>
        <w:rPr>
          <w:color w:val="000000"/>
        </w:rPr>
        <w:t>ных средств на региональном уровне.</w:t>
      </w:r>
    </w:p>
    <w:p w:rsidR="004A36EF" w:rsidRDefault="004A36EF" w:rsidP="004A36EF">
      <w:pPr>
        <w:pStyle w:val="afffffff8"/>
        <w:spacing w:line="365" w:lineRule="auto"/>
        <w:ind w:firstLine="567"/>
        <w:jc w:val="both"/>
        <w:rPr>
          <w:color w:val="000000"/>
        </w:rPr>
      </w:pPr>
      <w:r>
        <w:rPr>
          <w:color w:val="000000"/>
        </w:rPr>
        <w:t>Обоснованы подходы к улучшению лекарственного обеспечения льготных категорий нас</w:t>
      </w:r>
      <w:r>
        <w:rPr>
          <w:color w:val="000000"/>
        </w:rPr>
        <w:t>е</w:t>
      </w:r>
      <w:r>
        <w:rPr>
          <w:color w:val="000000"/>
        </w:rPr>
        <w:t>ления на основании оценки фармакотерапевтического действия лекарственных средств общего перечня для обеспечения той или иной льготной категории путем использования метода экспер</w:t>
      </w:r>
      <w:r>
        <w:rPr>
          <w:color w:val="000000"/>
        </w:rPr>
        <w:t>т</w:t>
      </w:r>
      <w:r>
        <w:rPr>
          <w:color w:val="000000"/>
        </w:rPr>
        <w:t>ных оценок. Получаемые результаты подлежали дальнейшему фармакоэкономическому анализу по схемам «стоимость-эффективность», «стоимость-польза», «стоимость-выгода», «стоимость з</w:t>
      </w:r>
      <w:r>
        <w:rPr>
          <w:color w:val="000000"/>
        </w:rPr>
        <w:t>а</w:t>
      </w:r>
      <w:r>
        <w:rPr>
          <w:color w:val="000000"/>
        </w:rPr>
        <w:t>трат на лекарственное обеспечение», «минимизация затрат». Обоснованы стандартизированные вар</w:t>
      </w:r>
      <w:r>
        <w:rPr>
          <w:color w:val="000000"/>
        </w:rPr>
        <w:t>и</w:t>
      </w:r>
      <w:r>
        <w:rPr>
          <w:color w:val="000000"/>
        </w:rPr>
        <w:t>анты для обеспечения лекарственными средствами льготных категорий населения, которые основаны на отобранной номенклатуре лекарственных средств. Предусмотрена возможность в</w:t>
      </w:r>
      <w:r>
        <w:rPr>
          <w:color w:val="000000"/>
        </w:rPr>
        <w:t>ы</w:t>
      </w:r>
      <w:r>
        <w:rPr>
          <w:color w:val="000000"/>
        </w:rPr>
        <w:t xml:space="preserve">бора стандартизированных </w:t>
      </w:r>
      <w:r>
        <w:rPr>
          <w:color w:val="000000"/>
        </w:rPr>
        <w:lastRenderedPageBreak/>
        <w:t>вариантов в зависимости от медицинских показаний состояния бол</w:t>
      </w:r>
      <w:r>
        <w:rPr>
          <w:color w:val="000000"/>
        </w:rPr>
        <w:t>ь</w:t>
      </w:r>
      <w:r>
        <w:rPr>
          <w:color w:val="000000"/>
        </w:rPr>
        <w:t>ного и наличия средств на приобретение лекарственных средств. Такие стандартизированные в</w:t>
      </w:r>
      <w:r>
        <w:rPr>
          <w:color w:val="000000"/>
        </w:rPr>
        <w:t>а</w:t>
      </w:r>
      <w:r>
        <w:rPr>
          <w:color w:val="000000"/>
        </w:rPr>
        <w:t>рианты впервые рассматриваются как системно обоснованные положения лекарственного обесп</w:t>
      </w:r>
      <w:r>
        <w:rPr>
          <w:color w:val="000000"/>
        </w:rPr>
        <w:t>е</w:t>
      </w:r>
      <w:r>
        <w:rPr>
          <w:color w:val="000000"/>
        </w:rPr>
        <w:t>чения льготных категорий населения промышленных регионов в помощь региональным учрежд</w:t>
      </w:r>
      <w:r>
        <w:rPr>
          <w:color w:val="000000"/>
        </w:rPr>
        <w:t>е</w:t>
      </w:r>
      <w:r>
        <w:rPr>
          <w:color w:val="000000"/>
        </w:rPr>
        <w:t>ниям здравоохранения относительно формирования и контроля средств на приобретение лека</w:t>
      </w:r>
      <w:r>
        <w:rPr>
          <w:color w:val="000000"/>
        </w:rPr>
        <w:t>р</w:t>
      </w:r>
      <w:r>
        <w:rPr>
          <w:color w:val="000000"/>
        </w:rPr>
        <w:t>ственных средств, для построения определенной лечебной тактики. Предложено 16 стандартов л</w:t>
      </w:r>
      <w:r>
        <w:rPr>
          <w:color w:val="000000"/>
        </w:rPr>
        <w:t>е</w:t>
      </w:r>
      <w:r>
        <w:rPr>
          <w:color w:val="000000"/>
        </w:rPr>
        <w:t>карственного обеспечения инвалидов, участников войны и приравненных к ним, 14 стандартов – для больных раком легких и молочной железы, 25 стандартов – для больных сахарным и несахарным диабетом, 18 – для бол</w:t>
      </w:r>
      <w:r>
        <w:rPr>
          <w:color w:val="000000"/>
        </w:rPr>
        <w:t>ь</w:t>
      </w:r>
      <w:r>
        <w:rPr>
          <w:color w:val="000000"/>
        </w:rPr>
        <w:t>ных шизофренией шубообразной и эпилепсией.</w:t>
      </w:r>
    </w:p>
    <w:p w:rsidR="004A36EF" w:rsidRDefault="004A36EF" w:rsidP="004A36EF">
      <w:pPr>
        <w:pStyle w:val="afffffff8"/>
        <w:spacing w:line="365" w:lineRule="auto"/>
        <w:ind w:firstLine="567"/>
        <w:jc w:val="both"/>
        <w:rPr>
          <w:color w:val="000000"/>
        </w:rPr>
      </w:pPr>
      <w:r>
        <w:rPr>
          <w:color w:val="000000"/>
        </w:rPr>
        <w:t>Проведены исследования фармацевтического рынка инфузионных растворов. Установлено, что на региональном уровне отечественные производители инфузионных растворов при обеспеч</w:t>
      </w:r>
      <w:r>
        <w:rPr>
          <w:color w:val="000000"/>
        </w:rPr>
        <w:t>е</w:t>
      </w:r>
      <w:r>
        <w:rPr>
          <w:color w:val="000000"/>
        </w:rPr>
        <w:t>нии технологических процессов на уровне современных требований, могут конкурировать на о</w:t>
      </w:r>
      <w:r>
        <w:rPr>
          <w:color w:val="000000"/>
        </w:rPr>
        <w:t>б</w:t>
      </w:r>
      <w:r>
        <w:rPr>
          <w:color w:val="000000"/>
        </w:rPr>
        <w:t>щем фармацевтическом рынке, в первую очередь, за счет более доступных цен. Но для этого необходимы научные разработки отечественных технологических регламентов производства и</w:t>
      </w:r>
      <w:r>
        <w:rPr>
          <w:color w:val="000000"/>
        </w:rPr>
        <w:t>н</w:t>
      </w:r>
      <w:r>
        <w:rPr>
          <w:color w:val="000000"/>
        </w:rPr>
        <w:t>фузионных растворов, которые адаптированы к условиям  региональных производств. Перспе</w:t>
      </w:r>
      <w:r>
        <w:rPr>
          <w:color w:val="000000"/>
        </w:rPr>
        <w:t>к</w:t>
      </w:r>
      <w:r>
        <w:rPr>
          <w:color w:val="000000"/>
        </w:rPr>
        <w:t>тивными среди них для обеспечения льготного контингента населения являются технологии пр</w:t>
      </w:r>
      <w:r>
        <w:rPr>
          <w:color w:val="000000"/>
        </w:rPr>
        <w:t>о</w:t>
      </w:r>
      <w:r>
        <w:rPr>
          <w:color w:val="000000"/>
        </w:rPr>
        <w:t>изводства регуляторов водно-солевого баланса и кислотно-щелочного равновесия, а также коллоидных раств</w:t>
      </w:r>
      <w:r>
        <w:rPr>
          <w:color w:val="000000"/>
        </w:rPr>
        <w:t>о</w:t>
      </w:r>
      <w:r>
        <w:rPr>
          <w:color w:val="000000"/>
        </w:rPr>
        <w:t>ров гемодинамического влияния.</w:t>
      </w:r>
    </w:p>
    <w:p w:rsidR="004A36EF" w:rsidRDefault="004A36EF" w:rsidP="004A36EF">
      <w:pPr>
        <w:pStyle w:val="afffffff8"/>
        <w:spacing w:line="365" w:lineRule="auto"/>
        <w:ind w:firstLine="567"/>
        <w:jc w:val="both"/>
        <w:rPr>
          <w:color w:val="000000"/>
        </w:rPr>
      </w:pPr>
      <w:r>
        <w:rPr>
          <w:color w:val="000000"/>
        </w:rPr>
        <w:t>Исследована осмолярность инфузионных растворов «Трисоль» (293,167 мосмоль/л) и «Ре</w:t>
      </w:r>
      <w:r>
        <w:rPr>
          <w:color w:val="000000"/>
        </w:rPr>
        <w:t>о</w:t>
      </w:r>
      <w:r>
        <w:rPr>
          <w:color w:val="000000"/>
        </w:rPr>
        <w:t>полиглюкин» (310,865 мосмоль/л). Обоснована возможность использования для их упаковки п</w:t>
      </w:r>
      <w:r>
        <w:rPr>
          <w:color w:val="000000"/>
        </w:rPr>
        <w:t>о</w:t>
      </w:r>
      <w:r>
        <w:rPr>
          <w:color w:val="000000"/>
        </w:rPr>
        <w:t>ливинилхлоридных пакетов. Изучена стабильность этих растворов в зависимости от этой упако</w:t>
      </w:r>
      <w:r>
        <w:rPr>
          <w:color w:val="000000"/>
        </w:rPr>
        <w:t>в</w:t>
      </w:r>
      <w:r>
        <w:rPr>
          <w:color w:val="000000"/>
        </w:rPr>
        <w:t>ки. Впервые предложена технология инфузионных растворов «Реополиглюкин» и «Трисоль» в с</w:t>
      </w:r>
      <w:r>
        <w:rPr>
          <w:color w:val="000000"/>
        </w:rPr>
        <w:t>о</w:t>
      </w:r>
      <w:r>
        <w:rPr>
          <w:color w:val="000000"/>
        </w:rPr>
        <w:t xml:space="preserve">ответствии с требованиями GMP, которая внедрена в </w:t>
      </w:r>
      <w:r>
        <w:rPr>
          <w:color w:val="000000"/>
        </w:rPr>
        <w:lastRenderedPageBreak/>
        <w:t>региональное производство с целью улучш</w:t>
      </w:r>
      <w:r>
        <w:rPr>
          <w:color w:val="000000"/>
        </w:rPr>
        <w:t>е</w:t>
      </w:r>
      <w:r>
        <w:rPr>
          <w:color w:val="000000"/>
        </w:rPr>
        <w:t>ния обеспечения льготных категорий насел</w:t>
      </w:r>
      <w:r>
        <w:rPr>
          <w:color w:val="000000"/>
        </w:rPr>
        <w:t>е</w:t>
      </w:r>
      <w:r>
        <w:rPr>
          <w:color w:val="000000"/>
        </w:rPr>
        <w:t>ния.</w:t>
      </w:r>
    </w:p>
    <w:p w:rsidR="004A36EF" w:rsidRDefault="004A36EF" w:rsidP="004A36EF">
      <w:pPr>
        <w:pStyle w:val="afffffff8"/>
        <w:spacing w:line="365" w:lineRule="auto"/>
        <w:ind w:firstLine="567"/>
        <w:jc w:val="both"/>
        <w:rPr>
          <w:color w:val="000000"/>
        </w:rPr>
      </w:pPr>
      <w:r>
        <w:rPr>
          <w:color w:val="000000"/>
        </w:rPr>
        <w:t>Разработан блок нормативно-технической документации на региональное производство этих растворов.</w:t>
      </w:r>
    </w:p>
    <w:p w:rsidR="004A36EF" w:rsidRDefault="004A36EF" w:rsidP="004A36EF">
      <w:pPr>
        <w:pStyle w:val="afffffff8"/>
        <w:ind w:firstLine="567"/>
        <w:jc w:val="both"/>
        <w:rPr>
          <w:color w:val="000000"/>
        </w:rPr>
      </w:pPr>
      <w:r>
        <w:rPr>
          <w:color w:val="000000"/>
        </w:rPr>
        <w:t>Ключевые слова: льготные категории населения, промышленные регионы, лекарственное обеспечение населения, финансирование льготного обеспечения лекарственными средствами, стандартизированные варианты, фармакоэкономические стандарты, инфузионные растворы, пол</w:t>
      </w:r>
      <w:r>
        <w:rPr>
          <w:color w:val="000000"/>
        </w:rPr>
        <w:t>и</w:t>
      </w:r>
      <w:r>
        <w:rPr>
          <w:color w:val="000000"/>
        </w:rPr>
        <w:t>винилхлоридная упаковка, региональное производство лекарственных средств.</w:t>
      </w:r>
    </w:p>
    <w:p w:rsidR="004A36EF" w:rsidRDefault="004A36EF" w:rsidP="004A36EF">
      <w:pPr>
        <w:widowControl w:val="0"/>
        <w:spacing w:line="360" w:lineRule="auto"/>
        <w:ind w:firstLine="567"/>
        <w:jc w:val="both"/>
        <w:rPr>
          <w:lang w:val="uk-UA"/>
        </w:rPr>
      </w:pPr>
    </w:p>
    <w:p w:rsidR="004A36EF" w:rsidRDefault="004A36EF" w:rsidP="004A36EF">
      <w:pPr>
        <w:widowControl w:val="0"/>
        <w:spacing w:line="360" w:lineRule="auto"/>
        <w:ind w:firstLine="567"/>
        <w:jc w:val="both"/>
        <w:rPr>
          <w:b/>
          <w:bCs/>
          <w:lang w:val="en-GB"/>
        </w:rPr>
      </w:pPr>
      <w:r>
        <w:rPr>
          <w:b/>
          <w:bCs/>
          <w:lang w:val="en-GB"/>
        </w:rPr>
        <w:t>Gudzenko A.P. Scientific bases of medicinal maintenance improvement of preferential categories of population from industrial regions. - Man</w:t>
      </w:r>
      <w:r>
        <w:rPr>
          <w:b/>
          <w:bCs/>
          <w:lang w:val="en-GB"/>
        </w:rPr>
        <w:t>u</w:t>
      </w:r>
      <w:r>
        <w:rPr>
          <w:b/>
          <w:bCs/>
          <w:lang w:val="en-GB"/>
        </w:rPr>
        <w:t>script.</w:t>
      </w:r>
    </w:p>
    <w:p w:rsidR="004A36EF" w:rsidRDefault="004A36EF" w:rsidP="004A36EF">
      <w:pPr>
        <w:widowControl w:val="0"/>
        <w:spacing w:line="360" w:lineRule="auto"/>
        <w:ind w:firstLine="567"/>
        <w:jc w:val="both"/>
        <w:rPr>
          <w:lang w:val="en-GB"/>
        </w:rPr>
      </w:pPr>
      <w:r>
        <w:rPr>
          <w:lang w:val="en-GB"/>
        </w:rPr>
        <w:t>Thesis on scientific degree competition of doctor of pharmaceutical sciences on the speciality 15.00.01. – Drugs technology and pharmaceutical business organization. - National university of Pharm</w:t>
      </w:r>
      <w:r>
        <w:rPr>
          <w:lang w:val="en-GB"/>
        </w:rPr>
        <w:t>a</w:t>
      </w:r>
      <w:r>
        <w:rPr>
          <w:lang w:val="en-GB"/>
        </w:rPr>
        <w:t>cy, Kharkіv, 200</w:t>
      </w:r>
      <w:r>
        <w:rPr>
          <w:lang w:val="uk-UA"/>
        </w:rPr>
        <w:t>4</w:t>
      </w:r>
      <w:r>
        <w:rPr>
          <w:lang w:val="en-GB"/>
        </w:rPr>
        <w:t>.</w:t>
      </w:r>
    </w:p>
    <w:p w:rsidR="004A36EF" w:rsidRDefault="004A36EF" w:rsidP="004A36EF">
      <w:pPr>
        <w:widowControl w:val="0"/>
        <w:spacing w:line="360" w:lineRule="auto"/>
        <w:ind w:firstLine="567"/>
        <w:jc w:val="both"/>
        <w:rPr>
          <w:lang w:val="en-GB"/>
        </w:rPr>
      </w:pPr>
      <w:r>
        <w:rPr>
          <w:lang w:val="en-GB"/>
        </w:rPr>
        <w:t>The thesis is dedicated to substantiation of scientific bases improvement for medicinal maintenance of preferential categories of the population from industrial regions by its standartizied variants creation and expansion of drugs regional manufacture. Offered standartizied variants of medicinal maintenance of preferential categories of the population from industrial regions, which are based on the expenses minim</w:t>
      </w:r>
      <w:r>
        <w:rPr>
          <w:lang w:val="en-GB"/>
        </w:rPr>
        <w:t>i</w:t>
      </w:r>
      <w:r>
        <w:rPr>
          <w:lang w:val="en-GB"/>
        </w:rPr>
        <w:t>zation by pharmacotherapeutic activity evoluation under the different schemes of medicinal means co</w:t>
      </w:r>
      <w:r>
        <w:rPr>
          <w:lang w:val="en-GB"/>
        </w:rPr>
        <w:t>m</w:t>
      </w:r>
      <w:r>
        <w:rPr>
          <w:lang w:val="en-GB"/>
        </w:rPr>
        <w:t>binations. The stipulated opportunity of standartizied variants choice d</w:t>
      </w:r>
      <w:r>
        <w:rPr>
          <w:lang w:val="en-GB"/>
        </w:rPr>
        <w:t>e</w:t>
      </w:r>
      <w:r>
        <w:rPr>
          <w:lang w:val="en-GB"/>
        </w:rPr>
        <w:t>pending on medical indications of patient’ status and presence of means for drugs purchase. Standartizied variants are examined as syste</w:t>
      </w:r>
      <w:r>
        <w:rPr>
          <w:lang w:val="en-GB"/>
        </w:rPr>
        <w:t>m</w:t>
      </w:r>
      <w:r>
        <w:rPr>
          <w:lang w:val="en-GB"/>
        </w:rPr>
        <w:t>atically proved rules of medicinal maintenance of preferential categories of the population from industrial regions in order to help to regional establishments of public health services, profile treatment-preventive establishments concerning formation and control of means for their purchase for certain medical tactics creation. Standartizied variants are considered to be the standards for invalids medicinal maintenance, participants of war and similar to them (16 standards), patients with lungs cancer and dairy mammary gland (14 standards), patients with diabetes (25 standards), patients with schizophrenia and epilepcy (18 standards).</w:t>
      </w:r>
    </w:p>
    <w:p w:rsidR="004A36EF" w:rsidRDefault="004A36EF" w:rsidP="004A36EF">
      <w:pPr>
        <w:widowControl w:val="0"/>
        <w:spacing w:line="360" w:lineRule="auto"/>
        <w:ind w:firstLine="567"/>
        <w:jc w:val="both"/>
        <w:rPr>
          <w:lang w:val="en-GB"/>
        </w:rPr>
      </w:pPr>
      <w:r>
        <w:rPr>
          <w:lang w:val="en-GB"/>
        </w:rPr>
        <w:t>We have proved scientifically the regional manufacturing technology, quality control methods for "Reopoliglyukin" and "Trisol" solutions in polyvinylchloride package for preferential categories of the population maintenance. We have carried out physico-chemical researches of these solutions in polyv</w:t>
      </w:r>
      <w:r>
        <w:rPr>
          <w:lang w:val="en-GB"/>
        </w:rPr>
        <w:t>i</w:t>
      </w:r>
      <w:r>
        <w:rPr>
          <w:lang w:val="en-GB"/>
        </w:rPr>
        <w:t xml:space="preserve">nylchloride package during a long storage. The data obtained concerning permeability of water and salts ions in polyvinylchloride container. The parameters for osmolayridy at infusion </w:t>
      </w:r>
      <w:r>
        <w:rPr>
          <w:lang w:val="en-GB"/>
        </w:rPr>
        <w:lastRenderedPageBreak/>
        <w:t>solutions " Re</w:t>
      </w:r>
      <w:r>
        <w:rPr>
          <w:lang w:val="en-GB"/>
        </w:rPr>
        <w:t>o</w:t>
      </w:r>
      <w:r>
        <w:rPr>
          <w:lang w:val="en-GB"/>
        </w:rPr>
        <w:t>poliglyukin" and " Trisol" are determined. The block of necessary ANDES has been prepared.</w:t>
      </w:r>
    </w:p>
    <w:p w:rsidR="004A36EF" w:rsidRDefault="004A36EF" w:rsidP="004A36EF">
      <w:pPr>
        <w:widowControl w:val="0"/>
        <w:spacing w:line="360" w:lineRule="auto"/>
        <w:ind w:firstLine="567"/>
        <w:jc w:val="both"/>
        <w:rPr>
          <w:lang w:val="en-GB"/>
        </w:rPr>
      </w:pPr>
      <w:r>
        <w:rPr>
          <w:lang w:val="en-GB"/>
        </w:rPr>
        <w:t>Keywords: preferential categories of the population, industrial regions, medicinal maintenance of the population, financing of preferential mai</w:t>
      </w:r>
      <w:r>
        <w:rPr>
          <w:lang w:val="en-GB"/>
        </w:rPr>
        <w:t>n</w:t>
      </w:r>
      <w:r>
        <w:rPr>
          <w:lang w:val="en-GB"/>
        </w:rPr>
        <w:t>tenance by medicinal means (drugs), standartizied variants, pharmacoeconomic standards, infusion solutions, polyvinylchloride package, regional manufacture of medicinal means.</w: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-360045</wp:posOffset>
                </wp:positionH>
                <wp:positionV relativeFrom="paragraph">
                  <wp:posOffset>-8872855</wp:posOffset>
                </wp:positionV>
                <wp:extent cx="914400" cy="914400"/>
                <wp:effectExtent l="9525" t="9525" r="9525" b="9525"/>
                <wp:wrapNone/>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4A36EF" w:rsidRDefault="004A36EF" w:rsidP="004A36EF">
                            <w:pPr>
                              <w:tabs>
                                <w:tab w:val="left" w:pos="567"/>
                              </w:tabs>
                              <w:spacing w:line="360" w:lineRule="auto"/>
                              <w:rPr>
                                <w:lang w:val="uk-UA"/>
                              </w:rPr>
                            </w:pPr>
                            <w:r>
                              <w:rPr>
                                <w:lang w:val="uk-UA"/>
                              </w:rPr>
                              <w:t>Рис. 8. Апарату</w:t>
                            </w:r>
                            <w:r>
                              <w:rPr>
                                <w:lang w:val="uk-UA"/>
                              </w:rPr>
                              <w:t>р</w:t>
                            </w:r>
                            <w:r>
                              <w:rPr>
                                <w:lang w:val="uk-UA"/>
                              </w:rPr>
                              <w:t>на схема вигото</w:t>
                            </w:r>
                            <w:r>
                              <w:rPr>
                                <w:lang w:val="uk-UA"/>
                              </w:rPr>
                              <w:t>в</w:t>
                            </w:r>
                            <w:r>
                              <w:rPr>
                                <w:lang w:val="uk-UA"/>
                              </w:rPr>
                              <w:t>лення і</w:t>
                            </w:r>
                            <w:r>
                              <w:rPr>
                                <w:lang w:val="uk-UA"/>
                              </w:rPr>
                              <w:t>н</w:t>
                            </w:r>
                            <w:r>
                              <w:rPr>
                                <w:lang w:val="uk-UA"/>
                              </w:rPr>
                              <w:t>фузійних розчинів “Реополі</w:t>
                            </w:r>
                            <w:r>
                              <w:rPr>
                                <w:lang w:val="uk-UA"/>
                              </w:rPr>
                              <w:t>г</w:t>
                            </w:r>
                            <w:r>
                              <w:rPr>
                                <w:lang w:val="uk-UA"/>
                              </w:rPr>
                              <w:t>люкін” і “Тр</w:t>
                            </w:r>
                            <w:r>
                              <w:rPr>
                                <w:lang w:val="uk-UA"/>
                              </w:rPr>
                              <w:t>и</w:t>
                            </w:r>
                            <w:r>
                              <w:rPr>
                                <w:lang w:val="uk-UA"/>
                              </w:rPr>
                              <w:t>сіль”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3" o:spid="_x0000_s1156" type="#_x0000_t202" style="position:absolute;left:0;text-align:left;margin-left:-28.35pt;margin-top:-698.6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clNQIAAFsEAAAOAAAAZHJzL2Uyb0RvYy54bWysVF2O0zAQfkfiDpbfadJuyy5R09XSpQhp&#10;+ZEWDuA4TmJhe4ztNlkus6fgCYkz9EiMnW6pFnhB5MGyPeNvZr5vJsvLQSuyE85LMCWdTnJKhOFQ&#10;S9OW9NPHzbMLSnxgpmYKjCjpnfD0cvX0ybK3hZhBB6oWjiCI8UVvS9qFYIss87wTmvkJWGHQ2IDT&#10;LODRtVntWI/oWmWzPH+e9eBq64AL7/H2ejTSVcJvGsHD+6bxIhBVUswtpNWltYprtlqyonXMdpIf&#10;0mD/kIVm0mDQI9Q1C4xsnfwNSkvuwEMTJhx0Bk0juUg1YDXT/FE1tx2zItWC5Hh7pMn/P1j+bvfB&#10;EVmX9Gx+RolhGkXa3+9/7L/vv5F4hwz11hfoeGvRNQwvYUClU7Xe3gD/7ImBdcdMK66cg74TrMYM&#10;p/FldvJ0xPERpOrfQo2B2DZAAhoapyN9SAhBdFTq7qiOGALhePliOp/naOFoOuxjBFY8PLbOh9cC&#10;NImbkjoUP4Gz3Y0Po+uDS4zlQcl6I5VKB9dWa+XIjmGjbNKX8n/kpgzpMfpithjr/ytEnr4/QWgZ&#10;sOOV1CW9ODqxIrL2ytSYJisCk2rcY3XKHGiMzI0chqEakmbnR3kqqO+QWAdjh+NE4qYD95WSHru7&#10;pP7LljlBiXpjUJzEH45DOswX5zPk1Z1aqlMLMxyhShooGbfrMI7Q1jrZdhhpbAcDVyhoIxPZUfkx&#10;q0P+2MFJrsO0xRE5PSevX/+E1U8AAAD//wMAUEsDBBQABgAIAAAAIQA7qHx24gAAAA4BAAAPAAAA&#10;ZHJzL2Rvd25yZXYueG1sTI/LTsMwEEX3SPyDNUhsUOu0pkka4lQICUR30FawdeNpEuFHsN00/D3O&#10;Clbzurr3TLkZtSIDOt9Zw2ExT4Cgqa3sTMPhsH+e5UB8EEYKZQ1y+EEPm+r6qhSFtBfzjsMuNCSa&#10;GF8IDm0IfUGpr1vUws9tjybeTtZpEeLoGiqduERzregySVKqRWdiQit6fGqx/tqdNYf8/nX49Fv2&#10;9lGnJ7UOd9nw8u04v70ZHx+ABBzDnxgm/IgOVWQ62rORnigOs1WaRWlsFmydMSBRk0/1OK2WK8aA&#10;ViX9/0b1CwAA//8DAFBLAQItABQABgAIAAAAIQC2gziS/gAAAOEBAAATAAAAAAAAAAAAAAAAAAAA&#10;AABbQ29udGVudF9UeXBlc10ueG1sUEsBAi0AFAAGAAgAAAAhADj9If/WAAAAlAEAAAsAAAAAAAAA&#10;AAAAAAAALwEAAF9yZWxzLy5yZWxzUEsBAi0AFAAGAAgAAAAhAN3EByU1AgAAWwQAAA4AAAAAAAAA&#10;AAAAAAAALgIAAGRycy9lMm9Eb2MueG1sUEsBAi0AFAAGAAgAAAAhADuofHbiAAAADgEAAA8AAAAA&#10;AAAAAAAAAAAAjwQAAGRycy9kb3ducmV2LnhtbFBLBQYAAAAABAAEAPMAAACeBQAAAAA=&#10;">
                <v:textbox>
                  <w:txbxContent>
                    <w:p w:rsidR="004A36EF" w:rsidRDefault="004A36EF" w:rsidP="004A36EF">
                      <w:pPr>
                        <w:tabs>
                          <w:tab w:val="left" w:pos="567"/>
                        </w:tabs>
                        <w:spacing w:line="360" w:lineRule="auto"/>
                        <w:rPr>
                          <w:lang w:val="uk-UA"/>
                        </w:rPr>
                      </w:pPr>
                      <w:r>
                        <w:rPr>
                          <w:lang w:val="uk-UA"/>
                        </w:rPr>
                        <w:t>Рис. 8. Апарату</w:t>
                      </w:r>
                      <w:r>
                        <w:rPr>
                          <w:lang w:val="uk-UA"/>
                        </w:rPr>
                        <w:t>р</w:t>
                      </w:r>
                      <w:r>
                        <w:rPr>
                          <w:lang w:val="uk-UA"/>
                        </w:rPr>
                        <w:t>на схема вигото</w:t>
                      </w:r>
                      <w:r>
                        <w:rPr>
                          <w:lang w:val="uk-UA"/>
                        </w:rPr>
                        <w:t>в</w:t>
                      </w:r>
                      <w:r>
                        <w:rPr>
                          <w:lang w:val="uk-UA"/>
                        </w:rPr>
                        <w:t>лення і</w:t>
                      </w:r>
                      <w:r>
                        <w:rPr>
                          <w:lang w:val="uk-UA"/>
                        </w:rPr>
                        <w:t>н</w:t>
                      </w:r>
                      <w:r>
                        <w:rPr>
                          <w:lang w:val="uk-UA"/>
                        </w:rPr>
                        <w:t>фузійних розчинів “Реополі</w:t>
                      </w:r>
                      <w:r>
                        <w:rPr>
                          <w:lang w:val="uk-UA"/>
                        </w:rPr>
                        <w:t>г</w:t>
                      </w:r>
                      <w:r>
                        <w:rPr>
                          <w:lang w:val="uk-UA"/>
                        </w:rPr>
                        <w:t>люкін” і “Тр</w:t>
                      </w:r>
                      <w:r>
                        <w:rPr>
                          <w:lang w:val="uk-UA"/>
                        </w:rPr>
                        <w:t>и</w:t>
                      </w:r>
                      <w:r>
                        <w:rPr>
                          <w:lang w:val="uk-UA"/>
                        </w:rPr>
                        <w:t>сіль”</w:t>
                      </w:r>
                    </w:p>
                  </w:txbxContent>
                </v:textbox>
              </v:shape>
            </w:pict>
          </mc:Fallback>
        </mc:AlternateContent>
      </w:r>
    </w:p>
    <w:p w:rsidR="003A1DEA" w:rsidRPr="004A36EF" w:rsidRDefault="003A1DEA" w:rsidP="003A1DEA">
      <w:pPr>
        <w:pStyle w:val="afffffff1"/>
        <w:rPr>
          <w:lang w:val="en-GB"/>
        </w:rPr>
      </w:pPr>
      <w:bookmarkStart w:id="0" w:name="_GoBack"/>
      <w:bookmarkEnd w:id="0"/>
    </w:p>
    <w:p w:rsidR="003A1DEA" w:rsidRPr="0021207A" w:rsidRDefault="003A1DEA" w:rsidP="00935F1E">
      <w:pPr>
        <w:pStyle w:val="afffffff5"/>
        <w:rPr>
          <w:color w:val="FF0000"/>
          <w:lang w:val="uk-UA"/>
        </w:rPr>
      </w:pPr>
    </w:p>
    <w:p w:rsidR="00E8063E" w:rsidRDefault="00E8063E" w:rsidP="00935F1E">
      <w:pPr>
        <w:pStyle w:val="afffffff5"/>
      </w:pPr>
      <w:r>
        <w:rPr>
          <w:color w:val="FF0000"/>
        </w:rPr>
        <w:t xml:space="preserve">Для заказа доставки данной работы воспользуйтесь поиском на сайте по ссылке:  </w:t>
      </w:r>
      <w:hyperlink r:id="rId21" w:history="1">
        <w:r>
          <w:rPr>
            <w:rStyle w:val="ae"/>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0C" w:rsidRDefault="009D5D0C">
      <w:r>
        <w:separator/>
      </w:r>
    </w:p>
  </w:endnote>
  <w:endnote w:type="continuationSeparator" w:id="0">
    <w:p w:rsidR="009D5D0C" w:rsidRDefault="009D5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0C" w:rsidRDefault="009D5D0C">
      <w:r>
        <w:separator/>
      </w:r>
    </w:p>
  </w:footnote>
  <w:footnote w:type="continuationSeparator" w:id="0">
    <w:p w:rsidR="009D5D0C" w:rsidRDefault="009D5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8">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9">
    <w:nsid w:val="1AC068CB"/>
    <w:multiLevelType w:val="hybridMultilevel"/>
    <w:tmpl w:val="EABCF610"/>
    <w:lvl w:ilvl="0" w:tplc="FFFFFFFF">
      <w:start w:val="1"/>
      <w:numFmt w:val="bullet"/>
      <w:lvlText w:val=""/>
      <w:lvlJc w:val="left"/>
      <w:pPr>
        <w:tabs>
          <w:tab w:val="num" w:pos="1080"/>
        </w:tabs>
        <w:ind w:left="1004" w:hanging="284"/>
      </w:pPr>
      <w:rPr>
        <w:rFonts w:ascii="Symbol" w:hAnsi="Symbol" w:hint="default"/>
        <w:sz w:val="20"/>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1610C36"/>
    <w:multiLevelType w:val="hybridMultilevel"/>
    <w:tmpl w:val="70BC631A"/>
    <w:lvl w:ilvl="0" w:tplc="FFFFFFFF">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347701F7"/>
    <w:multiLevelType w:val="singleLevel"/>
    <w:tmpl w:val="0419000F"/>
    <w:lvl w:ilvl="0">
      <w:start w:val="1"/>
      <w:numFmt w:val="decimal"/>
      <w:lvlText w:val="%1."/>
      <w:lvlJc w:val="left"/>
      <w:pPr>
        <w:tabs>
          <w:tab w:val="num" w:pos="360"/>
        </w:tabs>
        <w:ind w:left="360" w:hanging="360"/>
      </w:pPr>
    </w:lvl>
  </w:abstractNum>
  <w:abstractNum w:abstractNumId="4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3">
    <w:nsid w:val="5C5608A8"/>
    <w:multiLevelType w:val="singleLevel"/>
    <w:tmpl w:val="8EB43B40"/>
    <w:lvl w:ilvl="0">
      <w:start w:val="1"/>
      <w:numFmt w:val="bullet"/>
      <w:lvlText w:val=""/>
      <w:lvlJc w:val="left"/>
      <w:pPr>
        <w:tabs>
          <w:tab w:val="num" w:pos="360"/>
        </w:tabs>
        <w:ind w:left="360" w:hanging="360"/>
      </w:pPr>
      <w:rPr>
        <w:rFonts w:ascii="Symbol" w:hAnsi="Symbol" w:hint="default"/>
        <w:sz w:val="16"/>
      </w:rPr>
    </w:lvl>
  </w:abstractNum>
  <w:abstractNum w:abstractNumId="44">
    <w:nsid w:val="5CDD4A38"/>
    <w:multiLevelType w:val="hybridMultilevel"/>
    <w:tmpl w:val="28F22F6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b w:val="0"/>
        <w:i w:val="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5">
    <w:nsid w:val="61EB3A81"/>
    <w:multiLevelType w:val="singleLevel"/>
    <w:tmpl w:val="AA702312"/>
    <w:lvl w:ilvl="0">
      <w:start w:val="8"/>
      <w:numFmt w:val="bullet"/>
      <w:lvlText w:val="•"/>
      <w:lvlJc w:val="left"/>
      <w:pPr>
        <w:tabs>
          <w:tab w:val="num" w:pos="927"/>
        </w:tabs>
        <w:ind w:left="927" w:hanging="360"/>
      </w:pPr>
      <w:rPr>
        <w:rFonts w:ascii="Times New Roman" w:hAnsi="Times New Roman" w:cs="Times New Roman" w:hint="default"/>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8"/>
  </w:num>
  <w:num w:numId="37">
    <w:abstractNumId w:val="37"/>
  </w:num>
  <w:num w:numId="38">
    <w:abstractNumId w:val="42"/>
  </w:num>
  <w:num w:numId="39">
    <w:abstractNumId w:val="0"/>
  </w:num>
  <w:num w:numId="40">
    <w:abstractNumId w:val="1"/>
  </w:num>
  <w:num w:numId="41">
    <w:abstractNumId w:val="39"/>
  </w:num>
  <w:num w:numId="42">
    <w:abstractNumId w:val="43"/>
  </w:num>
  <w:num w:numId="43">
    <w:abstractNumId w:val="41"/>
  </w:num>
  <w:num w:numId="44">
    <w:abstractNumId w:val="45"/>
  </w:num>
  <w:num w:numId="45">
    <w:abstractNumId w:val="44"/>
  </w:num>
  <w:num w:numId="46">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496C"/>
    <w:rsid w:val="000255F2"/>
    <w:rsid w:val="00051685"/>
    <w:rsid w:val="000561E5"/>
    <w:rsid w:val="00075237"/>
    <w:rsid w:val="0008255B"/>
    <w:rsid w:val="000976D0"/>
    <w:rsid w:val="000A3262"/>
    <w:rsid w:val="000A56E3"/>
    <w:rsid w:val="000A6478"/>
    <w:rsid w:val="000D3398"/>
    <w:rsid w:val="000D53AB"/>
    <w:rsid w:val="000E07FB"/>
    <w:rsid w:val="000E6014"/>
    <w:rsid w:val="000F20CE"/>
    <w:rsid w:val="000F5F3A"/>
    <w:rsid w:val="000F672C"/>
    <w:rsid w:val="0010053C"/>
    <w:rsid w:val="0011344B"/>
    <w:rsid w:val="001407E0"/>
    <w:rsid w:val="00143253"/>
    <w:rsid w:val="00151077"/>
    <w:rsid w:val="00152934"/>
    <w:rsid w:val="00155A25"/>
    <w:rsid w:val="00162A81"/>
    <w:rsid w:val="001A197B"/>
    <w:rsid w:val="001A5E82"/>
    <w:rsid w:val="001A6FC9"/>
    <w:rsid w:val="001B4C01"/>
    <w:rsid w:val="001C702E"/>
    <w:rsid w:val="001D5247"/>
    <w:rsid w:val="001F14AE"/>
    <w:rsid w:val="001F1507"/>
    <w:rsid w:val="001F66E7"/>
    <w:rsid w:val="00206C75"/>
    <w:rsid w:val="0021207A"/>
    <w:rsid w:val="00267173"/>
    <w:rsid w:val="00267C02"/>
    <w:rsid w:val="0028253D"/>
    <w:rsid w:val="00292B3F"/>
    <w:rsid w:val="002A6528"/>
    <w:rsid w:val="002D11A8"/>
    <w:rsid w:val="002D4909"/>
    <w:rsid w:val="002F142F"/>
    <w:rsid w:val="002F1BEC"/>
    <w:rsid w:val="0030185F"/>
    <w:rsid w:val="00304F1E"/>
    <w:rsid w:val="00311AF5"/>
    <w:rsid w:val="00314A13"/>
    <w:rsid w:val="00342491"/>
    <w:rsid w:val="003723CF"/>
    <w:rsid w:val="00383B3E"/>
    <w:rsid w:val="0039380B"/>
    <w:rsid w:val="003A1DEA"/>
    <w:rsid w:val="003A3D03"/>
    <w:rsid w:val="003A67F5"/>
    <w:rsid w:val="003A6904"/>
    <w:rsid w:val="003C00A6"/>
    <w:rsid w:val="003C6BE6"/>
    <w:rsid w:val="003D2931"/>
    <w:rsid w:val="003D58DB"/>
    <w:rsid w:val="003E3271"/>
    <w:rsid w:val="003F1EBF"/>
    <w:rsid w:val="004102F1"/>
    <w:rsid w:val="00411717"/>
    <w:rsid w:val="00414194"/>
    <w:rsid w:val="004313DD"/>
    <w:rsid w:val="00453A09"/>
    <w:rsid w:val="00457062"/>
    <w:rsid w:val="0046167F"/>
    <w:rsid w:val="00471A16"/>
    <w:rsid w:val="00474B03"/>
    <w:rsid w:val="004942BD"/>
    <w:rsid w:val="004A36EF"/>
    <w:rsid w:val="004A5A83"/>
    <w:rsid w:val="004B59E3"/>
    <w:rsid w:val="004C647D"/>
    <w:rsid w:val="004F03AF"/>
    <w:rsid w:val="0051645F"/>
    <w:rsid w:val="00524D1A"/>
    <w:rsid w:val="00535170"/>
    <w:rsid w:val="005461ED"/>
    <w:rsid w:val="005506B9"/>
    <w:rsid w:val="00550763"/>
    <w:rsid w:val="00576C1A"/>
    <w:rsid w:val="005803EE"/>
    <w:rsid w:val="00592471"/>
    <w:rsid w:val="005A2875"/>
    <w:rsid w:val="005A4EFD"/>
    <w:rsid w:val="005C0E6E"/>
    <w:rsid w:val="005C3CE3"/>
    <w:rsid w:val="005E2FD3"/>
    <w:rsid w:val="00600D4B"/>
    <w:rsid w:val="00612DF3"/>
    <w:rsid w:val="00616BC2"/>
    <w:rsid w:val="00650F42"/>
    <w:rsid w:val="006A0054"/>
    <w:rsid w:val="006A1105"/>
    <w:rsid w:val="006C7D70"/>
    <w:rsid w:val="006F0333"/>
    <w:rsid w:val="006F1417"/>
    <w:rsid w:val="00700395"/>
    <w:rsid w:val="00714EB5"/>
    <w:rsid w:val="0071510D"/>
    <w:rsid w:val="00727B28"/>
    <w:rsid w:val="0074121F"/>
    <w:rsid w:val="00760C9A"/>
    <w:rsid w:val="00763C76"/>
    <w:rsid w:val="00767053"/>
    <w:rsid w:val="007755D7"/>
    <w:rsid w:val="007A3A4A"/>
    <w:rsid w:val="007B0B78"/>
    <w:rsid w:val="007C548E"/>
    <w:rsid w:val="007C7837"/>
    <w:rsid w:val="007E5161"/>
    <w:rsid w:val="007F3184"/>
    <w:rsid w:val="007F36DA"/>
    <w:rsid w:val="00802229"/>
    <w:rsid w:val="00803975"/>
    <w:rsid w:val="008373B3"/>
    <w:rsid w:val="00840EC3"/>
    <w:rsid w:val="00846A3F"/>
    <w:rsid w:val="00854667"/>
    <w:rsid w:val="00855E0D"/>
    <w:rsid w:val="0087703A"/>
    <w:rsid w:val="00877AA5"/>
    <w:rsid w:val="00885A91"/>
    <w:rsid w:val="00886B4E"/>
    <w:rsid w:val="0089415E"/>
    <w:rsid w:val="008A3B27"/>
    <w:rsid w:val="008D0321"/>
    <w:rsid w:val="008D39D9"/>
    <w:rsid w:val="008E567E"/>
    <w:rsid w:val="008E7A5F"/>
    <w:rsid w:val="008F087D"/>
    <w:rsid w:val="00902A7A"/>
    <w:rsid w:val="00935F1E"/>
    <w:rsid w:val="00937513"/>
    <w:rsid w:val="00941BB0"/>
    <w:rsid w:val="009B3919"/>
    <w:rsid w:val="009C7D55"/>
    <w:rsid w:val="009D350E"/>
    <w:rsid w:val="009D4CB8"/>
    <w:rsid w:val="009D5D0C"/>
    <w:rsid w:val="009F4BD2"/>
    <w:rsid w:val="009F7EAC"/>
    <w:rsid w:val="00A0133D"/>
    <w:rsid w:val="00A23A7B"/>
    <w:rsid w:val="00A27490"/>
    <w:rsid w:val="00A4158A"/>
    <w:rsid w:val="00A41FCB"/>
    <w:rsid w:val="00A521E0"/>
    <w:rsid w:val="00A617E5"/>
    <w:rsid w:val="00A814A4"/>
    <w:rsid w:val="00A84733"/>
    <w:rsid w:val="00A96C62"/>
    <w:rsid w:val="00AA2DB9"/>
    <w:rsid w:val="00AC1CB8"/>
    <w:rsid w:val="00AC454C"/>
    <w:rsid w:val="00AC5CFA"/>
    <w:rsid w:val="00AC7317"/>
    <w:rsid w:val="00AD01B6"/>
    <w:rsid w:val="00AD75CF"/>
    <w:rsid w:val="00AF5500"/>
    <w:rsid w:val="00AF649C"/>
    <w:rsid w:val="00B02945"/>
    <w:rsid w:val="00B1230A"/>
    <w:rsid w:val="00B15527"/>
    <w:rsid w:val="00B3226C"/>
    <w:rsid w:val="00B339FA"/>
    <w:rsid w:val="00B46023"/>
    <w:rsid w:val="00B53BD0"/>
    <w:rsid w:val="00B7676C"/>
    <w:rsid w:val="00B800A2"/>
    <w:rsid w:val="00B8206A"/>
    <w:rsid w:val="00B84E7D"/>
    <w:rsid w:val="00B90BA3"/>
    <w:rsid w:val="00BA3A4E"/>
    <w:rsid w:val="00BE256E"/>
    <w:rsid w:val="00BE2595"/>
    <w:rsid w:val="00BF1277"/>
    <w:rsid w:val="00C20DA6"/>
    <w:rsid w:val="00C34C20"/>
    <w:rsid w:val="00C44D61"/>
    <w:rsid w:val="00C50E4C"/>
    <w:rsid w:val="00C53120"/>
    <w:rsid w:val="00C56704"/>
    <w:rsid w:val="00C57DC8"/>
    <w:rsid w:val="00C70C58"/>
    <w:rsid w:val="00C77163"/>
    <w:rsid w:val="00C87CAD"/>
    <w:rsid w:val="00CB1C7A"/>
    <w:rsid w:val="00CB5B02"/>
    <w:rsid w:val="00CB74DD"/>
    <w:rsid w:val="00CC6BB0"/>
    <w:rsid w:val="00CE2459"/>
    <w:rsid w:val="00CE3755"/>
    <w:rsid w:val="00CF6003"/>
    <w:rsid w:val="00D13A16"/>
    <w:rsid w:val="00D1591A"/>
    <w:rsid w:val="00D3158B"/>
    <w:rsid w:val="00D347FA"/>
    <w:rsid w:val="00D46BAC"/>
    <w:rsid w:val="00D52279"/>
    <w:rsid w:val="00D548D3"/>
    <w:rsid w:val="00D60933"/>
    <w:rsid w:val="00D73023"/>
    <w:rsid w:val="00D959BF"/>
    <w:rsid w:val="00D963CD"/>
    <w:rsid w:val="00D97F12"/>
    <w:rsid w:val="00DB43FE"/>
    <w:rsid w:val="00DB5B53"/>
    <w:rsid w:val="00DD4EAD"/>
    <w:rsid w:val="00DE5D7B"/>
    <w:rsid w:val="00E00292"/>
    <w:rsid w:val="00E038A0"/>
    <w:rsid w:val="00E26F4E"/>
    <w:rsid w:val="00E3373F"/>
    <w:rsid w:val="00E36459"/>
    <w:rsid w:val="00E5494D"/>
    <w:rsid w:val="00E57281"/>
    <w:rsid w:val="00E63D91"/>
    <w:rsid w:val="00E73D4A"/>
    <w:rsid w:val="00E8063E"/>
    <w:rsid w:val="00E94606"/>
    <w:rsid w:val="00EC68A6"/>
    <w:rsid w:val="00ED245E"/>
    <w:rsid w:val="00ED2E24"/>
    <w:rsid w:val="00F02799"/>
    <w:rsid w:val="00F224B8"/>
    <w:rsid w:val="00F42DB2"/>
    <w:rsid w:val="00F501BB"/>
    <w:rsid w:val="00F67C61"/>
    <w:rsid w:val="00F864E0"/>
    <w:rsid w:val="00F91991"/>
    <w:rsid w:val="00FA713E"/>
    <w:rsid w:val="00FB4310"/>
    <w:rsid w:val="00FB5208"/>
    <w:rsid w:val="00FC5D3D"/>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uiPriority w:val="99"/>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c">
    <w:name w:val="Название2"/>
    <w:basedOn w:val="a7"/>
    <w:pPr>
      <w:suppressLineNumbers/>
      <w:spacing w:before="120" w:after="120"/>
    </w:pPr>
    <w:rPr>
      <w:rFonts w:cs="Times New Roman CYR"/>
      <w:i/>
      <w:iCs/>
    </w:rPr>
  </w:style>
  <w:style w:type="paragraph" w:customStyle="1" w:styleId="2fd">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uiPriority w:val="99"/>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e">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uiPriority w:val="99"/>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f">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0">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1">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7"/>
    <w:rPr>
      <w:sz w:val="20"/>
      <w:szCs w:val="20"/>
    </w:rPr>
  </w:style>
  <w:style w:type="paragraph" w:styleId="affffffff4">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a">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c">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d">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e">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0">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1">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2">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uiPriority w:val="99"/>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4">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5">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6">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2"/>
    <w:next w:val="2ff2"/>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7">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9">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a">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b">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f">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0">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1">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2"/>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5">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8">
    <w:name w:val="Body Text 2"/>
    <w:basedOn w:val="a7"/>
    <w:link w:val="225"/>
    <w:unhideWhenUsed/>
    <w:rsid w:val="00524D1A"/>
    <w:pPr>
      <w:spacing w:after="120" w:line="480" w:lineRule="auto"/>
    </w:pPr>
  </w:style>
  <w:style w:type="character" w:customStyle="1" w:styleId="225">
    <w:name w:val="Основной текст 2 Знак2"/>
    <w:basedOn w:val="a8"/>
    <w:link w:val="2ffff8"/>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9">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d">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e">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f">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0">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1">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2">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3">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4">
    <w:name w:val="Подпись к картинке (2)_"/>
    <w:link w:val="2fffff5"/>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5">
    <w:name w:val="Подпись к картинке (2)"/>
    <w:basedOn w:val="a7"/>
    <w:link w:val="2fffff4"/>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6">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7">
    <w:name w:val="Подпись к таблице (2)_"/>
    <w:link w:val="2fffff8"/>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8">
    <w:name w:val="Подпись к таблице (2)"/>
    <w:basedOn w:val="a7"/>
    <w:link w:val="2fffff7"/>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9">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a">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b">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c">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d">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a">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b">
    <w:name w:val="Список определений"/>
    <w:basedOn w:val="a7"/>
    <w:next w:val="a7"/>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7"/>
    <w:semiHidden/>
    <w:unhideWhenUsed/>
    <w:rsid w:val="001B4C01"/>
    <w:pPr>
      <w:numPr>
        <w:numId w:val="40"/>
      </w:numPr>
      <w:contextualSpacing/>
    </w:pPr>
  </w:style>
  <w:style w:type="paragraph" w:styleId="3fff8">
    <w:name w:val="List 3"/>
    <w:basedOn w:val="a7"/>
    <w:semiHidden/>
    <w:unhideWhenUsed/>
    <w:rsid w:val="001B4C01"/>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uiPriority w:val="99"/>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c">
    <w:name w:val="Название2"/>
    <w:basedOn w:val="a7"/>
    <w:pPr>
      <w:suppressLineNumbers/>
      <w:spacing w:before="120" w:after="120"/>
    </w:pPr>
    <w:rPr>
      <w:rFonts w:cs="Times New Roman CYR"/>
      <w:i/>
      <w:iCs/>
    </w:rPr>
  </w:style>
  <w:style w:type="paragraph" w:customStyle="1" w:styleId="2fd">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uiPriority w:val="99"/>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e">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uiPriority w:val="99"/>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f">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0">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1">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7"/>
    <w:rPr>
      <w:sz w:val="20"/>
      <w:szCs w:val="20"/>
    </w:rPr>
  </w:style>
  <w:style w:type="paragraph" w:styleId="affffffff4">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a">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c">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d">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e">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0">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1">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2">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uiPriority w:val="99"/>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4">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5">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6">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2"/>
    <w:next w:val="2ff2"/>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7">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9">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a">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b">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f">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0">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1">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2"/>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5">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8">
    <w:name w:val="Body Text 2"/>
    <w:basedOn w:val="a7"/>
    <w:link w:val="225"/>
    <w:unhideWhenUsed/>
    <w:rsid w:val="00524D1A"/>
    <w:pPr>
      <w:spacing w:after="120" w:line="480" w:lineRule="auto"/>
    </w:pPr>
  </w:style>
  <w:style w:type="character" w:customStyle="1" w:styleId="225">
    <w:name w:val="Основной текст 2 Знак2"/>
    <w:basedOn w:val="a8"/>
    <w:link w:val="2ffff8"/>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9">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d">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e">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f">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0">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1">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2">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3">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4">
    <w:name w:val="Подпись к картинке (2)_"/>
    <w:link w:val="2fffff5"/>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5">
    <w:name w:val="Подпись к картинке (2)"/>
    <w:basedOn w:val="a7"/>
    <w:link w:val="2fffff4"/>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6">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7">
    <w:name w:val="Подпись к таблице (2)_"/>
    <w:link w:val="2fffff8"/>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8">
    <w:name w:val="Подпись к таблице (2)"/>
    <w:basedOn w:val="a7"/>
    <w:link w:val="2fffff7"/>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9">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a">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b">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c">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d">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a">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b">
    <w:name w:val="Список определений"/>
    <w:basedOn w:val="a7"/>
    <w:next w:val="a7"/>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7"/>
    <w:semiHidden/>
    <w:unhideWhenUsed/>
    <w:rsid w:val="001B4C01"/>
    <w:pPr>
      <w:numPr>
        <w:numId w:val="40"/>
      </w:numPr>
      <w:contextualSpacing/>
    </w:pPr>
  </w:style>
  <w:style w:type="paragraph" w:styleId="3fff8">
    <w:name w:val="List 3"/>
    <w:basedOn w:val="a7"/>
    <w:semiHidden/>
    <w:unhideWhenUsed/>
    <w:rsid w:val="001B4C01"/>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mydisser.com/search.html"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067669172932331E-2"/>
          <c:y val="2.4064171122994651E-2"/>
          <c:w val="0.92932330827067666"/>
          <c:h val="0.77272727272727271"/>
        </c:manualLayout>
      </c:layout>
      <c:bar3DChart>
        <c:barDir val="col"/>
        <c:grouping val="stacked"/>
        <c:varyColors val="0"/>
        <c:ser>
          <c:idx val="1"/>
          <c:order val="0"/>
          <c:tx>
            <c:strRef>
              <c:f>Лист31!$C$1</c:f>
              <c:strCache>
                <c:ptCount val="1"/>
                <c:pt idx="0">
                  <c:v>Кількість осіб</c:v>
                </c:pt>
              </c:strCache>
            </c:strRef>
          </c:tx>
          <c:spPr>
            <a:solidFill>
              <a:srgbClr val="993366"/>
            </a:solidFill>
            <a:ln w="12700">
              <a:solidFill>
                <a:srgbClr val="000000"/>
              </a:solidFill>
              <a:prstDash val="solid"/>
            </a:ln>
          </c:spPr>
          <c:invertIfNegative val="0"/>
          <c:cat>
            <c:numRef>
              <c:f>Лист31!$A$2:$A$13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Лист31!$C$2:$C$13</c:f>
              <c:numCache>
                <c:formatCode>General</c:formatCode>
                <c:ptCount val="12"/>
                <c:pt idx="0">
                  <c:v>1</c:v>
                </c:pt>
                <c:pt idx="1">
                  <c:v>2</c:v>
                </c:pt>
                <c:pt idx="2">
                  <c:v>3</c:v>
                </c:pt>
                <c:pt idx="3">
                  <c:v>4</c:v>
                </c:pt>
                <c:pt idx="4">
                  <c:v>5</c:v>
                </c:pt>
                <c:pt idx="5">
                  <c:v>6</c:v>
                </c:pt>
                <c:pt idx="6">
                  <c:v>7</c:v>
                </c:pt>
                <c:pt idx="7">
                  <c:v>1</c:v>
                </c:pt>
                <c:pt idx="8">
                  <c:v>2</c:v>
                </c:pt>
                <c:pt idx="9">
                  <c:v>3</c:v>
                </c:pt>
                <c:pt idx="10">
                  <c:v>4</c:v>
                </c:pt>
                <c:pt idx="11">
                  <c:v>5</c:v>
                </c:pt>
              </c:numCache>
            </c:numRef>
          </c:val>
        </c:ser>
        <c:ser>
          <c:idx val="0"/>
          <c:order val="1"/>
          <c:tx>
            <c:strRef>
              <c:f>Лист31!$B$1</c:f>
              <c:strCache>
                <c:ptCount val="1"/>
                <c:pt idx="0">
                  <c:v>Частота звернення</c:v>
                </c:pt>
              </c:strCache>
            </c:strRef>
          </c:tx>
          <c:spPr>
            <a:solidFill>
              <a:srgbClr val="9999FF"/>
            </a:solidFill>
            <a:ln w="12700">
              <a:solidFill>
                <a:srgbClr val="000000"/>
              </a:solidFill>
              <a:prstDash val="solid"/>
            </a:ln>
          </c:spPr>
          <c:invertIfNegative val="0"/>
          <c:cat>
            <c:numRef>
              <c:f>Лист31!$A$2:$A$13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Лист31!$B$2:$B$13</c:f>
              <c:numCache>
                <c:formatCode>General</c:formatCode>
                <c:ptCount val="12"/>
                <c:pt idx="0">
                  <c:v>2</c:v>
                </c:pt>
                <c:pt idx="1">
                  <c:v>5</c:v>
                </c:pt>
                <c:pt idx="2">
                  <c:v>3</c:v>
                </c:pt>
                <c:pt idx="3">
                  <c:v>7</c:v>
                </c:pt>
                <c:pt idx="4">
                  <c:v>1</c:v>
                </c:pt>
                <c:pt idx="5">
                  <c:v>6</c:v>
                </c:pt>
                <c:pt idx="6">
                  <c:v>3</c:v>
                </c:pt>
                <c:pt idx="7">
                  <c:v>2</c:v>
                </c:pt>
                <c:pt idx="8">
                  <c:v>1</c:v>
                </c:pt>
                <c:pt idx="9">
                  <c:v>3</c:v>
                </c:pt>
                <c:pt idx="10">
                  <c:v>11</c:v>
                </c:pt>
                <c:pt idx="11">
                  <c:v>11</c:v>
                </c:pt>
              </c:numCache>
            </c:numRef>
          </c:val>
        </c:ser>
        <c:dLbls>
          <c:showLegendKey val="0"/>
          <c:showVal val="0"/>
          <c:showCatName val="0"/>
          <c:showSerName val="0"/>
          <c:showPercent val="0"/>
          <c:showBubbleSize val="0"/>
        </c:dLbls>
        <c:gapWidth val="150"/>
        <c:shape val="box"/>
        <c:axId val="226676736"/>
        <c:axId val="226678656"/>
        <c:axId val="0"/>
      </c:bar3DChart>
      <c:catAx>
        <c:axId val="226676736"/>
        <c:scaling>
          <c:orientation val="minMax"/>
        </c:scaling>
        <c:delete val="0"/>
        <c:axPos val="b"/>
        <c:title>
          <c:tx>
            <c:rich>
              <a:bodyPr/>
              <a:lstStyle/>
              <a:p>
                <a:pPr>
                  <a:defRPr sz="1000" b="0" i="0" u="none" strike="noStrike" baseline="0">
                    <a:solidFill>
                      <a:srgbClr val="000000"/>
                    </a:solidFill>
                    <a:latin typeface="Arial Cyr"/>
                    <a:ea typeface="Arial Cyr"/>
                    <a:cs typeface="Arial Cyr"/>
                  </a:defRPr>
                </a:pPr>
                <a:r>
                  <a:t>Окремі категорії пільгового контингенту</a:t>
                </a:r>
              </a:p>
            </c:rich>
          </c:tx>
          <c:layout>
            <c:manualLayout>
              <c:xMode val="edge"/>
              <c:yMode val="edge"/>
              <c:x val="0.60300751879699244"/>
              <c:y val="0.86363636363636365"/>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6678656"/>
        <c:crosses val="autoZero"/>
        <c:auto val="1"/>
        <c:lblAlgn val="ctr"/>
        <c:lblOffset val="100"/>
        <c:tickLblSkip val="1"/>
        <c:tickMarkSkip val="1"/>
        <c:noMultiLvlLbl val="0"/>
      </c:catAx>
      <c:valAx>
        <c:axId val="226678656"/>
        <c:scaling>
          <c:orientation val="minMax"/>
        </c:scaling>
        <c:delete val="0"/>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Arial Cyr"/>
                    <a:ea typeface="Arial Cyr"/>
                    <a:cs typeface="Arial Cyr"/>
                  </a:defRPr>
                </a:pPr>
                <a:r>
                  <a:t>Ранги показників</a:t>
                </a:r>
              </a:p>
            </c:rich>
          </c:tx>
          <c:layout>
            <c:manualLayout>
              <c:xMode val="edge"/>
              <c:yMode val="edge"/>
              <c:x val="0"/>
              <c:y val="5.6149732620320858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26676736"/>
        <c:crosses val="autoZero"/>
        <c:crossBetween val="between"/>
      </c:valAx>
      <c:spPr>
        <a:noFill/>
        <a:ln w="25400">
          <a:noFill/>
        </a:ln>
      </c:spPr>
    </c:plotArea>
    <c:legend>
      <c:legendPos val="b"/>
      <c:layout>
        <c:manualLayout>
          <c:xMode val="edge"/>
          <c:yMode val="edge"/>
          <c:x val="1.9548872180451128E-2"/>
          <c:y val="0.93850267379679142"/>
          <c:w val="0.58345864661654134"/>
          <c:h val="6.4171122994652413E-2"/>
        </c:manualLayout>
      </c:layout>
      <c:overlay val="0"/>
      <c:spPr>
        <a:no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1964017991004492E-2"/>
          <c:y val="6.6964285714285711E-3"/>
          <c:w val="0.92803598200899551"/>
          <c:h val="0.7901785714285714"/>
        </c:manualLayout>
      </c:layout>
      <c:bar3DChart>
        <c:barDir val="col"/>
        <c:grouping val="stacked"/>
        <c:varyColors val="0"/>
        <c:ser>
          <c:idx val="1"/>
          <c:order val="0"/>
          <c:tx>
            <c:strRef>
              <c:f>Лист32!$C$1</c:f>
              <c:strCache>
                <c:ptCount val="1"/>
                <c:pt idx="0">
                  <c:v>Кількість осіб</c:v>
                </c:pt>
              </c:strCache>
            </c:strRef>
          </c:tx>
          <c:spPr>
            <a:solidFill>
              <a:srgbClr val="993366"/>
            </a:solidFill>
            <a:ln w="12693">
              <a:solidFill>
                <a:srgbClr val="000000"/>
              </a:solidFill>
              <a:prstDash val="solid"/>
            </a:ln>
          </c:spPr>
          <c:invertIfNegative val="0"/>
          <c:val>
            <c:numRef>
              <c:f>Лист32!$C$1:$C$20</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val>
        </c:ser>
        <c:ser>
          <c:idx val="0"/>
          <c:order val="1"/>
          <c:tx>
            <c:strRef>
              <c:f>Лист32!$B$1</c:f>
              <c:strCache>
                <c:ptCount val="1"/>
                <c:pt idx="0">
                  <c:v>Частота звернення</c:v>
                </c:pt>
              </c:strCache>
            </c:strRef>
          </c:tx>
          <c:spPr>
            <a:solidFill>
              <a:srgbClr val="9999FF"/>
            </a:solidFill>
            <a:ln w="12693">
              <a:solidFill>
                <a:srgbClr val="000000"/>
              </a:solidFill>
              <a:prstDash val="solid"/>
            </a:ln>
          </c:spPr>
          <c:invertIfNegative val="0"/>
          <c:val>
            <c:numRef>
              <c:f>Лист32!$B$1:$B$20</c:f>
              <c:numCache>
                <c:formatCode>General</c:formatCode>
                <c:ptCount val="20"/>
                <c:pt idx="0">
                  <c:v>0</c:v>
                </c:pt>
                <c:pt idx="1">
                  <c:v>1</c:v>
                </c:pt>
                <c:pt idx="2">
                  <c:v>2</c:v>
                </c:pt>
                <c:pt idx="3">
                  <c:v>7</c:v>
                </c:pt>
                <c:pt idx="4">
                  <c:v>4</c:v>
                </c:pt>
                <c:pt idx="5">
                  <c:v>5</c:v>
                </c:pt>
                <c:pt idx="6">
                  <c:v>9</c:v>
                </c:pt>
                <c:pt idx="7">
                  <c:v>28</c:v>
                </c:pt>
                <c:pt idx="8">
                  <c:v>22</c:v>
                </c:pt>
                <c:pt idx="9">
                  <c:v>15</c:v>
                </c:pt>
                <c:pt idx="10">
                  <c:v>8</c:v>
                </c:pt>
                <c:pt idx="11">
                  <c:v>12</c:v>
                </c:pt>
                <c:pt idx="12">
                  <c:v>13</c:v>
                </c:pt>
                <c:pt idx="13">
                  <c:v>19</c:v>
                </c:pt>
                <c:pt idx="14">
                  <c:v>11</c:v>
                </c:pt>
                <c:pt idx="15">
                  <c:v>8.5</c:v>
                </c:pt>
                <c:pt idx="16">
                  <c:v>6</c:v>
                </c:pt>
                <c:pt idx="17">
                  <c:v>3</c:v>
                </c:pt>
                <c:pt idx="18">
                  <c:v>10</c:v>
                </c:pt>
                <c:pt idx="19">
                  <c:v>18</c:v>
                </c:pt>
              </c:numCache>
            </c:numRef>
          </c:val>
        </c:ser>
        <c:dLbls>
          <c:showLegendKey val="0"/>
          <c:showVal val="0"/>
          <c:showCatName val="0"/>
          <c:showSerName val="0"/>
          <c:showPercent val="0"/>
          <c:showBubbleSize val="0"/>
        </c:dLbls>
        <c:gapWidth val="150"/>
        <c:shape val="box"/>
        <c:axId val="146713600"/>
        <c:axId val="234464384"/>
        <c:axId val="0"/>
      </c:bar3DChart>
      <c:catAx>
        <c:axId val="146713600"/>
        <c:scaling>
          <c:orientation val="minMax"/>
        </c:scaling>
        <c:delete val="0"/>
        <c:axPos val="b"/>
        <c:title>
          <c:tx>
            <c:rich>
              <a:bodyPr/>
              <a:lstStyle/>
              <a:p>
                <a:pPr>
                  <a:defRPr sz="999" b="0" i="0" u="none" strike="noStrike" baseline="0">
                    <a:solidFill>
                      <a:srgbClr val="000000"/>
                    </a:solidFill>
                    <a:latin typeface="Arial Cyr"/>
                    <a:ea typeface="Arial Cyr"/>
                    <a:cs typeface="Arial Cyr"/>
                  </a:defRPr>
                </a:pPr>
                <a:r>
                  <a:t>Окремі категорії пільгового контингенту населення</a:t>
                </a:r>
              </a:p>
            </c:rich>
          </c:tx>
          <c:layout>
            <c:manualLayout>
              <c:xMode val="edge"/>
              <c:yMode val="edge"/>
              <c:x val="0.52323838080959517"/>
              <c:y val="0.8526785714285714"/>
            </c:manualLayout>
          </c:layout>
          <c:overlay val="0"/>
          <c:spPr>
            <a:noFill/>
            <a:ln w="25385">
              <a:noFill/>
            </a:ln>
          </c:spPr>
        </c:title>
        <c:numFmt formatCode="General" sourceLinked="1"/>
        <c:majorTickMark val="out"/>
        <c:minorTickMark val="none"/>
        <c:tickLblPos val="low"/>
        <c:spPr>
          <a:ln w="3173">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234464384"/>
        <c:crosses val="autoZero"/>
        <c:auto val="1"/>
        <c:lblAlgn val="ctr"/>
        <c:lblOffset val="100"/>
        <c:tickLblSkip val="1"/>
        <c:tickMarkSkip val="1"/>
        <c:noMultiLvlLbl val="0"/>
      </c:catAx>
      <c:valAx>
        <c:axId val="234464384"/>
        <c:scaling>
          <c:orientation val="minMax"/>
        </c:scaling>
        <c:delete val="0"/>
        <c:axPos val="l"/>
        <c:majorGridlines>
          <c:spPr>
            <a:ln w="3173">
              <a:solidFill>
                <a:srgbClr val="000000"/>
              </a:solidFill>
              <a:prstDash val="solid"/>
            </a:ln>
          </c:spPr>
        </c:majorGridlines>
        <c:title>
          <c:tx>
            <c:rich>
              <a:bodyPr/>
              <a:lstStyle/>
              <a:p>
                <a:pPr>
                  <a:defRPr sz="999" b="0" i="0" u="none" strike="noStrike" baseline="0">
                    <a:solidFill>
                      <a:srgbClr val="000000"/>
                    </a:solidFill>
                    <a:latin typeface="Arial Cyr"/>
                    <a:ea typeface="Arial Cyr"/>
                    <a:cs typeface="Arial Cyr"/>
                  </a:defRPr>
                </a:pPr>
                <a:r>
                  <a:t>Ранги показників</a:t>
                </a:r>
              </a:p>
            </c:rich>
          </c:tx>
          <c:layout>
            <c:manualLayout>
              <c:xMode val="edge"/>
              <c:yMode val="edge"/>
              <c:x val="0"/>
              <c:y val="4.0178571428571432E-2"/>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146713600"/>
        <c:crosses val="autoZero"/>
        <c:crossBetween val="between"/>
        <c:majorUnit val="4"/>
      </c:valAx>
      <c:spPr>
        <a:noFill/>
        <a:ln w="25385">
          <a:noFill/>
        </a:ln>
      </c:spPr>
    </c:plotArea>
    <c:legend>
      <c:legendPos val="b"/>
      <c:layout>
        <c:manualLayout>
          <c:xMode val="edge"/>
          <c:yMode val="edge"/>
          <c:x val="3.2983508245877063E-2"/>
          <c:y val="0.9419642857142857"/>
          <c:w val="0.56971514242878563"/>
          <c:h val="5.3571428571428568E-2"/>
        </c:manualLayout>
      </c:layout>
      <c:overlay val="0"/>
      <c:spPr>
        <a:noFill/>
        <a:ln w="25385">
          <a:noFill/>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9701492537313432E-2"/>
          <c:y val="0"/>
          <c:w val="0.94029850746268662"/>
          <c:h val="0.74285714285714288"/>
        </c:manualLayout>
      </c:layout>
      <c:bar3DChart>
        <c:barDir val="col"/>
        <c:grouping val="stacked"/>
        <c:varyColors val="0"/>
        <c:ser>
          <c:idx val="0"/>
          <c:order val="0"/>
          <c:tx>
            <c:strRef>
              <c:f>Лист34!$B$1</c:f>
              <c:strCache>
                <c:ptCount val="1"/>
                <c:pt idx="0">
                  <c:v>питома вага осіб пільгових категорій</c:v>
                </c:pt>
              </c:strCache>
            </c:strRef>
          </c:tx>
          <c:spPr>
            <a:solidFill>
              <a:srgbClr val="C0C0C0"/>
            </a:solidFill>
            <a:ln w="13175">
              <a:solidFill>
                <a:srgbClr val="000000"/>
              </a:solidFill>
              <a:prstDash val="solid"/>
            </a:ln>
          </c:spPr>
          <c:invertIfNegative val="0"/>
          <c:dLbls>
            <c:numFmt formatCode="0.0" sourceLinked="0"/>
            <c:spPr>
              <a:solidFill>
                <a:srgbClr val="FFFFFF"/>
              </a:solidFill>
              <a:ln w="26350">
                <a:noFill/>
              </a:ln>
            </c:spPr>
            <c:txPr>
              <a:bodyPr/>
              <a:lstStyle/>
              <a:p>
                <a:pPr>
                  <a:defRPr sz="103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Лист34!$B$2:$B$13</c:f>
              <c:numCache>
                <c:formatCode>General</c:formatCode>
                <c:ptCount val="12"/>
                <c:pt idx="0">
                  <c:v>33.020000000000003</c:v>
                </c:pt>
                <c:pt idx="1">
                  <c:v>10.19</c:v>
                </c:pt>
                <c:pt idx="2">
                  <c:v>7.82</c:v>
                </c:pt>
                <c:pt idx="3">
                  <c:v>7.61</c:v>
                </c:pt>
                <c:pt idx="4">
                  <c:v>6.41</c:v>
                </c:pt>
                <c:pt idx="5">
                  <c:v>6.44</c:v>
                </c:pt>
                <c:pt idx="6">
                  <c:v>6.44</c:v>
                </c:pt>
                <c:pt idx="7">
                  <c:v>6.27</c:v>
                </c:pt>
                <c:pt idx="8">
                  <c:v>5.03</c:v>
                </c:pt>
                <c:pt idx="9">
                  <c:v>3.3</c:v>
                </c:pt>
                <c:pt idx="10">
                  <c:v>2</c:v>
                </c:pt>
                <c:pt idx="11">
                  <c:v>11.51</c:v>
                </c:pt>
              </c:numCache>
            </c:numRef>
          </c:val>
        </c:ser>
        <c:ser>
          <c:idx val="1"/>
          <c:order val="1"/>
          <c:tx>
            <c:strRef>
              <c:f>Лист34!$C$1</c:f>
              <c:strCache>
                <c:ptCount val="1"/>
                <c:pt idx="0">
                  <c:v>питома вага коштів на придбання лікарських засобів</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75">
              <a:solidFill>
                <a:srgbClr val="000000"/>
              </a:solidFill>
              <a:prstDash val="solid"/>
            </a:ln>
          </c:spPr>
          <c:invertIfNegative val="0"/>
          <c:dPt>
            <c:idx val="1"/>
            <c:invertIfNegative val="0"/>
            <c:bubble3D val="0"/>
          </c:dPt>
          <c:dPt>
            <c:idx val="2"/>
            <c:invertIfNegative val="0"/>
            <c:bubble3D val="0"/>
          </c:dPt>
          <c:dPt>
            <c:idx val="3"/>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numFmt formatCode="0.0" sourceLinked="0"/>
            <c:spPr>
              <a:noFill/>
              <a:ln w="26350">
                <a:noFill/>
              </a:ln>
            </c:spPr>
            <c:txPr>
              <a:bodyPr/>
              <a:lstStyle/>
              <a:p>
                <a:pPr>
                  <a:defRPr sz="103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Лист34!$C$2:$C$13</c:f>
              <c:numCache>
                <c:formatCode>General</c:formatCode>
                <c:ptCount val="12"/>
                <c:pt idx="0">
                  <c:v>10.63</c:v>
                </c:pt>
                <c:pt idx="1">
                  <c:v>17.399999999999999</c:v>
                </c:pt>
                <c:pt idx="2">
                  <c:v>24.7</c:v>
                </c:pt>
                <c:pt idx="3">
                  <c:v>32.6</c:v>
                </c:pt>
                <c:pt idx="4">
                  <c:v>40.42</c:v>
                </c:pt>
                <c:pt idx="5">
                  <c:v>39.520000000000003</c:v>
                </c:pt>
                <c:pt idx="6">
                  <c:v>38.520000000000003</c:v>
                </c:pt>
                <c:pt idx="7">
                  <c:v>37.520000000000003</c:v>
                </c:pt>
                <c:pt idx="8">
                  <c:v>36.520000000000003</c:v>
                </c:pt>
                <c:pt idx="9">
                  <c:v>35.520000000000003</c:v>
                </c:pt>
                <c:pt idx="10">
                  <c:v>34.520000000000003</c:v>
                </c:pt>
                <c:pt idx="11">
                  <c:v>14.43</c:v>
                </c:pt>
              </c:numCache>
            </c:numRef>
          </c:val>
        </c:ser>
        <c:dLbls>
          <c:showLegendKey val="0"/>
          <c:showVal val="0"/>
          <c:showCatName val="0"/>
          <c:showSerName val="0"/>
          <c:showPercent val="0"/>
          <c:showBubbleSize val="0"/>
        </c:dLbls>
        <c:gapWidth val="50"/>
        <c:shape val="box"/>
        <c:axId val="250997760"/>
        <c:axId val="251008128"/>
        <c:axId val="0"/>
      </c:bar3DChart>
      <c:catAx>
        <c:axId val="250997760"/>
        <c:scaling>
          <c:orientation val="minMax"/>
        </c:scaling>
        <c:delete val="0"/>
        <c:axPos val="b"/>
        <c:title>
          <c:tx>
            <c:rich>
              <a:bodyPr/>
              <a:lstStyle/>
              <a:p>
                <a:pPr>
                  <a:defRPr sz="1037" b="0" i="0" u="none" strike="noStrike" baseline="0">
                    <a:solidFill>
                      <a:srgbClr val="000000"/>
                    </a:solidFill>
                    <a:latin typeface="Arial Cyr"/>
                    <a:ea typeface="Arial Cyr"/>
                    <a:cs typeface="Arial Cyr"/>
                  </a:defRPr>
                </a:pPr>
                <a:r>
                  <a:t>групи пільгових категорій</a:t>
                </a:r>
              </a:p>
            </c:rich>
          </c:tx>
          <c:layout>
            <c:manualLayout>
              <c:xMode val="edge"/>
              <c:yMode val="edge"/>
              <c:x val="0.72238805970149256"/>
              <c:y val="0.81714285714285717"/>
            </c:manualLayout>
          </c:layout>
          <c:overlay val="0"/>
          <c:spPr>
            <a:noFill/>
            <a:ln w="26350">
              <a:noFill/>
            </a:ln>
          </c:spPr>
        </c:title>
        <c:numFmt formatCode="General" sourceLinked="1"/>
        <c:majorTickMark val="out"/>
        <c:minorTickMark val="none"/>
        <c:tickLblPos val="low"/>
        <c:spPr>
          <a:ln w="3294">
            <a:solidFill>
              <a:srgbClr val="000000"/>
            </a:solidFill>
            <a:prstDash val="solid"/>
          </a:ln>
        </c:spPr>
        <c:txPr>
          <a:bodyPr rot="0" vert="horz"/>
          <a:lstStyle/>
          <a:p>
            <a:pPr>
              <a:defRPr sz="1037" b="0" i="0" u="none" strike="noStrike" baseline="0">
                <a:solidFill>
                  <a:srgbClr val="000000"/>
                </a:solidFill>
                <a:latin typeface="Arial Cyr"/>
                <a:ea typeface="Arial Cyr"/>
                <a:cs typeface="Arial Cyr"/>
              </a:defRPr>
            </a:pPr>
            <a:endParaRPr lang="ru-RU"/>
          </a:p>
        </c:txPr>
        <c:crossAx val="251008128"/>
        <c:crosses val="autoZero"/>
        <c:auto val="1"/>
        <c:lblAlgn val="ctr"/>
        <c:lblOffset val="100"/>
        <c:tickLblSkip val="1"/>
        <c:tickMarkSkip val="1"/>
        <c:noMultiLvlLbl val="0"/>
      </c:catAx>
      <c:valAx>
        <c:axId val="251008128"/>
        <c:scaling>
          <c:orientation val="minMax"/>
        </c:scaling>
        <c:delete val="0"/>
        <c:axPos val="l"/>
        <c:title>
          <c:tx>
            <c:rich>
              <a:bodyPr rot="0" vert="horz"/>
              <a:lstStyle/>
              <a:p>
                <a:pPr algn="ctr">
                  <a:defRPr sz="1037" b="0" i="0" u="none" strike="noStrike" baseline="0">
                    <a:solidFill>
                      <a:srgbClr val="000000"/>
                    </a:solidFill>
                    <a:latin typeface="Arial Cyr"/>
                    <a:ea typeface="Arial Cyr"/>
                    <a:cs typeface="Arial Cyr"/>
                  </a:defRPr>
                </a:pPr>
                <a:r>
                  <a:t>%</a:t>
                </a:r>
              </a:p>
            </c:rich>
          </c:tx>
          <c:layout>
            <c:manualLayout>
              <c:xMode val="edge"/>
              <c:yMode val="edge"/>
              <c:x val="5.5223880597014927E-2"/>
              <c:y val="5.1428571428571428E-2"/>
            </c:manualLayout>
          </c:layout>
          <c:overlay val="0"/>
          <c:spPr>
            <a:noFill/>
            <a:ln w="26350">
              <a:noFill/>
            </a:ln>
          </c:spPr>
        </c:title>
        <c:numFmt formatCode="General" sourceLinked="1"/>
        <c:majorTickMark val="out"/>
        <c:minorTickMark val="none"/>
        <c:tickLblPos val="nextTo"/>
        <c:spPr>
          <a:ln w="3294">
            <a:solidFill>
              <a:srgbClr val="000000"/>
            </a:solidFill>
            <a:prstDash val="solid"/>
          </a:ln>
        </c:spPr>
        <c:txPr>
          <a:bodyPr rot="0" vert="horz"/>
          <a:lstStyle/>
          <a:p>
            <a:pPr>
              <a:defRPr sz="1037" b="0" i="0" u="none" strike="noStrike" baseline="0">
                <a:solidFill>
                  <a:srgbClr val="000000"/>
                </a:solidFill>
                <a:latin typeface="Arial Cyr"/>
                <a:ea typeface="Arial Cyr"/>
                <a:cs typeface="Arial Cyr"/>
              </a:defRPr>
            </a:pPr>
            <a:endParaRPr lang="ru-RU"/>
          </a:p>
        </c:txPr>
        <c:crossAx val="250997760"/>
        <c:crosses val="autoZero"/>
        <c:crossBetween val="between"/>
      </c:valAx>
      <c:spPr>
        <a:noFill/>
        <a:ln w="26350">
          <a:noFill/>
        </a:ln>
      </c:spPr>
    </c:plotArea>
    <c:legend>
      <c:legendPos val="b"/>
      <c:overlay val="0"/>
      <c:spPr>
        <a:noFill/>
        <a:ln w="26350">
          <a:noFill/>
        </a:ln>
      </c:spPr>
      <c:txPr>
        <a:bodyPr/>
        <a:lstStyle/>
        <a:p>
          <a:pPr>
            <a:defRPr sz="954"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3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86319218241043"/>
          <c:y val="7.3578595317725759E-2"/>
          <c:w val="0.89576547231270354"/>
          <c:h val="0.71571906354515047"/>
        </c:manualLayout>
      </c:layout>
      <c:barChart>
        <c:barDir val="col"/>
        <c:grouping val="clustered"/>
        <c:varyColors val="0"/>
        <c:ser>
          <c:idx val="0"/>
          <c:order val="0"/>
          <c:tx>
            <c:strRef>
              <c:f>Лист33!$B$1</c:f>
              <c:strCache>
                <c:ptCount val="1"/>
                <c:pt idx="0">
                  <c:v>виробник фірма “Біолік”</c:v>
                </c:pt>
              </c:strCache>
            </c:strRef>
          </c:tx>
          <c:spPr>
            <a:solidFill>
              <a:srgbClr val="C0C0C0"/>
            </a:solidFill>
            <a:ln w="12708">
              <a:solidFill>
                <a:srgbClr val="000000"/>
              </a:solidFill>
              <a:prstDash val="solid"/>
            </a:ln>
          </c:spPr>
          <c:invertIfNegative val="0"/>
          <c:val>
            <c:numRef>
              <c:f>Лист33!$B$2:$B$15</c:f>
              <c:numCache>
                <c:formatCode>General</c:formatCode>
                <c:ptCount val="14"/>
                <c:pt idx="0">
                  <c:v>4</c:v>
                </c:pt>
                <c:pt idx="1">
                  <c:v>5</c:v>
                </c:pt>
                <c:pt idx="2">
                  <c:v>5.3</c:v>
                </c:pt>
                <c:pt idx="3">
                  <c:v>5.3</c:v>
                </c:pt>
                <c:pt idx="4">
                  <c:v>5.3</c:v>
                </c:pt>
                <c:pt idx="5">
                  <c:v>5.25</c:v>
                </c:pt>
                <c:pt idx="6">
                  <c:v>5</c:v>
                </c:pt>
                <c:pt idx="7">
                  <c:v>5.18</c:v>
                </c:pt>
                <c:pt idx="8">
                  <c:v>5</c:v>
                </c:pt>
                <c:pt idx="9">
                  <c:v>5.5</c:v>
                </c:pt>
                <c:pt idx="10">
                  <c:v>5.7</c:v>
                </c:pt>
                <c:pt idx="11">
                  <c:v>5</c:v>
                </c:pt>
                <c:pt idx="12">
                  <c:v>5.15</c:v>
                </c:pt>
                <c:pt idx="13">
                  <c:v>5.35</c:v>
                </c:pt>
              </c:numCache>
            </c:numRef>
          </c:val>
        </c:ser>
        <c:ser>
          <c:idx val="1"/>
          <c:order val="1"/>
          <c:tx>
            <c:strRef>
              <c:f>Лист33!$C$1</c:f>
              <c:strCache>
                <c:ptCount val="1"/>
                <c:pt idx="0">
                  <c:v>виробник фірма “Біофарма”</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8">
              <a:solidFill>
                <a:srgbClr val="000000"/>
              </a:solidFill>
              <a:prstDash val="solid"/>
            </a:ln>
          </c:spPr>
          <c:invertIfNegative val="0"/>
          <c:val>
            <c:numRef>
              <c:f>Лист33!$C$2:$C$15</c:f>
              <c:numCache>
                <c:formatCode>General</c:formatCode>
                <c:ptCount val="14"/>
                <c:pt idx="0">
                  <c:v>4.3</c:v>
                </c:pt>
                <c:pt idx="1">
                  <c:v>4.2300000000000004</c:v>
                </c:pt>
                <c:pt idx="2">
                  <c:v>4.18</c:v>
                </c:pt>
                <c:pt idx="3">
                  <c:v>4.13</c:v>
                </c:pt>
                <c:pt idx="4">
                  <c:v>4.3499999999999996</c:v>
                </c:pt>
                <c:pt idx="5">
                  <c:v>4.4000000000000004</c:v>
                </c:pt>
                <c:pt idx="6">
                  <c:v>4.0999999999999996</c:v>
                </c:pt>
                <c:pt idx="7">
                  <c:v>4.45</c:v>
                </c:pt>
                <c:pt idx="8">
                  <c:v>4.45</c:v>
                </c:pt>
                <c:pt idx="9">
                  <c:v>4.45</c:v>
                </c:pt>
              </c:numCache>
            </c:numRef>
          </c:val>
        </c:ser>
        <c:dLbls>
          <c:showLegendKey val="0"/>
          <c:showVal val="0"/>
          <c:showCatName val="0"/>
          <c:showSerName val="0"/>
          <c:showPercent val="0"/>
          <c:showBubbleSize val="0"/>
        </c:dLbls>
        <c:gapWidth val="150"/>
        <c:axId val="251262848"/>
        <c:axId val="289607680"/>
      </c:barChart>
      <c:catAx>
        <c:axId val="251262848"/>
        <c:scaling>
          <c:orientation val="minMax"/>
        </c:scaling>
        <c:delete val="0"/>
        <c:axPos val="b"/>
        <c:title>
          <c:tx>
            <c:rich>
              <a:bodyPr/>
              <a:lstStyle/>
              <a:p>
                <a:pPr>
                  <a:defRPr sz="1001" b="0" i="0" u="none" strike="noStrike" baseline="0">
                    <a:solidFill>
                      <a:srgbClr val="000000"/>
                    </a:solidFill>
                    <a:latin typeface="Arial Cyr"/>
                    <a:ea typeface="Arial Cyr"/>
                    <a:cs typeface="Arial Cyr"/>
                  </a:defRPr>
                </a:pPr>
                <a:r>
                  <a:t>Дистриб'ютори</a:t>
                </a:r>
              </a:p>
            </c:rich>
          </c:tx>
          <c:layout>
            <c:manualLayout>
              <c:xMode val="edge"/>
              <c:yMode val="edge"/>
              <c:x val="0.85179153094462545"/>
              <c:y val="0.87290969899665549"/>
            </c:manualLayout>
          </c:layout>
          <c:overlay val="0"/>
          <c:spPr>
            <a:noFill/>
            <a:ln w="25416">
              <a:noFill/>
            </a:ln>
          </c:spPr>
        </c:title>
        <c:numFmt formatCode="General" sourceLinked="1"/>
        <c:majorTickMark val="out"/>
        <c:minorTickMark val="none"/>
        <c:tickLblPos val="nextTo"/>
        <c:spPr>
          <a:ln w="3177">
            <a:solidFill>
              <a:srgbClr val="000000"/>
            </a:solidFill>
            <a:prstDash val="solid"/>
          </a:ln>
        </c:spPr>
        <c:txPr>
          <a:bodyPr rot="0" vert="horz"/>
          <a:lstStyle/>
          <a:p>
            <a:pPr>
              <a:defRPr sz="1001" b="0" i="0" u="none" strike="noStrike" baseline="0">
                <a:solidFill>
                  <a:srgbClr val="000000"/>
                </a:solidFill>
                <a:latin typeface="Arial Cyr"/>
                <a:ea typeface="Arial Cyr"/>
                <a:cs typeface="Arial Cyr"/>
              </a:defRPr>
            </a:pPr>
            <a:endParaRPr lang="ru-RU"/>
          </a:p>
        </c:txPr>
        <c:crossAx val="289607680"/>
        <c:crosses val="autoZero"/>
        <c:auto val="1"/>
        <c:lblAlgn val="ctr"/>
        <c:lblOffset val="100"/>
        <c:tickLblSkip val="1"/>
        <c:tickMarkSkip val="1"/>
        <c:noMultiLvlLbl val="0"/>
      </c:catAx>
      <c:valAx>
        <c:axId val="289607680"/>
        <c:scaling>
          <c:orientation val="minMax"/>
          <c:max val="5.9"/>
          <c:min val="2"/>
        </c:scaling>
        <c:delete val="0"/>
        <c:axPos val="l"/>
        <c:majorGridlines>
          <c:spPr>
            <a:ln w="3177">
              <a:solidFill>
                <a:srgbClr val="000000"/>
              </a:solidFill>
              <a:prstDash val="solid"/>
            </a:ln>
          </c:spPr>
        </c:majorGridlines>
        <c:title>
          <c:tx>
            <c:rich>
              <a:bodyPr/>
              <a:lstStyle/>
              <a:p>
                <a:pPr>
                  <a:defRPr sz="1001" b="0" i="0" u="none" strike="noStrike" baseline="0">
                    <a:solidFill>
                      <a:srgbClr val="000000"/>
                    </a:solidFill>
                    <a:latin typeface="Arial Cyr"/>
                    <a:ea typeface="Arial Cyr"/>
                    <a:cs typeface="Arial Cyr"/>
                  </a:defRPr>
                </a:pPr>
                <a:r>
                  <a:t>Ціни, грн.</a:t>
                </a:r>
              </a:p>
            </c:rich>
          </c:tx>
          <c:layout>
            <c:manualLayout>
              <c:xMode val="edge"/>
              <c:yMode val="edge"/>
              <c:x val="4.8859934853420191E-3"/>
              <c:y val="6.0200668896321072E-2"/>
            </c:manualLayout>
          </c:layout>
          <c:overlay val="0"/>
          <c:spPr>
            <a:noFill/>
            <a:ln w="25416">
              <a:noFill/>
            </a:ln>
          </c:spPr>
        </c:title>
        <c:numFmt formatCode="General" sourceLinked="1"/>
        <c:majorTickMark val="out"/>
        <c:minorTickMark val="none"/>
        <c:tickLblPos val="nextTo"/>
        <c:spPr>
          <a:ln w="3177">
            <a:solidFill>
              <a:srgbClr val="000000"/>
            </a:solidFill>
            <a:prstDash val="solid"/>
          </a:ln>
        </c:spPr>
        <c:txPr>
          <a:bodyPr rot="0" vert="horz"/>
          <a:lstStyle/>
          <a:p>
            <a:pPr>
              <a:defRPr sz="1001" b="0" i="0" u="none" strike="noStrike" baseline="0">
                <a:solidFill>
                  <a:srgbClr val="000000"/>
                </a:solidFill>
                <a:latin typeface="Arial Cyr"/>
                <a:ea typeface="Arial Cyr"/>
                <a:cs typeface="Arial Cyr"/>
              </a:defRPr>
            </a:pPr>
            <a:endParaRPr lang="ru-RU"/>
          </a:p>
        </c:txPr>
        <c:crossAx val="251262848"/>
        <c:crosses val="autoZero"/>
        <c:crossBetween val="between"/>
        <c:majorUnit val="0.3"/>
      </c:valAx>
      <c:spPr>
        <a:solidFill>
          <a:srgbClr val="FFFFFF"/>
        </a:solidFill>
        <a:ln w="25416">
          <a:noFill/>
        </a:ln>
      </c:spPr>
    </c:plotArea>
    <c:legend>
      <c:legendPos val="r"/>
      <c:layout>
        <c:manualLayout>
          <c:xMode val="edge"/>
          <c:yMode val="edge"/>
          <c:x val="9.1205211726384364E-2"/>
          <c:y val="0.92976588628762546"/>
          <c:w val="0.62377850162866455"/>
          <c:h val="7.3578595317725759E-2"/>
        </c:manualLayout>
      </c:layout>
      <c:overlay val="0"/>
      <c:spPr>
        <a:noFill/>
        <a:ln w="25416">
          <a:noFill/>
        </a:ln>
      </c:spPr>
      <c:txPr>
        <a:bodyPr/>
        <a:lstStyle/>
        <a:p>
          <a:pPr>
            <a:defRPr sz="921"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1"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C2C07-A0D2-419C-8E20-21CF5559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49</Pages>
  <Words>13701</Words>
  <Characters>78099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91617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23</cp:revision>
  <cp:lastPrinted>2009-02-06T08:36:00Z</cp:lastPrinted>
  <dcterms:created xsi:type="dcterms:W3CDTF">2015-03-22T11:10:00Z</dcterms:created>
  <dcterms:modified xsi:type="dcterms:W3CDTF">2016-02-04T07:18:00Z</dcterms:modified>
</cp:coreProperties>
</file>