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EFE80" w14:textId="77777777" w:rsidR="009A0EB7" w:rsidRPr="009A0EB7" w:rsidRDefault="009A0EB7" w:rsidP="009A0EB7">
      <w:pPr>
        <w:rPr>
          <w:rFonts w:ascii="Helvetica" w:eastAsia="Symbol" w:hAnsi="Helvetica" w:cs="Helvetica"/>
          <w:b/>
          <w:bCs/>
          <w:color w:val="222222"/>
          <w:kern w:val="0"/>
          <w:sz w:val="21"/>
          <w:szCs w:val="21"/>
          <w:lang w:eastAsia="ru-RU"/>
        </w:rPr>
      </w:pPr>
      <w:r w:rsidRPr="009A0EB7">
        <w:rPr>
          <w:rFonts w:ascii="Helvetica" w:eastAsia="Symbol" w:hAnsi="Helvetica" w:cs="Helvetica"/>
          <w:b/>
          <w:bCs/>
          <w:color w:val="222222"/>
          <w:kern w:val="0"/>
          <w:sz w:val="21"/>
          <w:szCs w:val="21"/>
          <w:lang w:eastAsia="ru-RU"/>
        </w:rPr>
        <w:t>Андрианов, Виктор Александрович.</w:t>
      </w:r>
    </w:p>
    <w:p w14:paraId="23B6699D" w14:textId="77777777" w:rsidR="009A0EB7" w:rsidRPr="009A0EB7" w:rsidRDefault="009A0EB7" w:rsidP="009A0EB7">
      <w:pPr>
        <w:rPr>
          <w:rFonts w:ascii="Helvetica" w:eastAsia="Symbol" w:hAnsi="Helvetica" w:cs="Helvetica"/>
          <w:b/>
          <w:bCs/>
          <w:color w:val="222222"/>
          <w:kern w:val="0"/>
          <w:sz w:val="21"/>
          <w:szCs w:val="21"/>
          <w:lang w:eastAsia="ru-RU"/>
        </w:rPr>
      </w:pPr>
      <w:r w:rsidRPr="009A0EB7">
        <w:rPr>
          <w:rFonts w:ascii="Helvetica" w:eastAsia="Symbol" w:hAnsi="Helvetica" w:cs="Helvetica"/>
          <w:b/>
          <w:bCs/>
          <w:color w:val="222222"/>
          <w:kern w:val="0"/>
          <w:sz w:val="21"/>
          <w:szCs w:val="21"/>
          <w:lang w:eastAsia="ru-RU"/>
        </w:rPr>
        <w:t>Изучение магнитного поведения примесных атомов Fe и Co в матрице Pd методами эффекта Мессбауэра и ядерной ориентации : диссертация ... кандидата физико-математических наук : 01.04.16. - Москва, 1984. - 188 с. : ил.</w:t>
      </w:r>
    </w:p>
    <w:p w14:paraId="27FE8248" w14:textId="77777777" w:rsidR="009A0EB7" w:rsidRPr="009A0EB7" w:rsidRDefault="009A0EB7" w:rsidP="009A0EB7">
      <w:pPr>
        <w:rPr>
          <w:rFonts w:ascii="Helvetica" w:eastAsia="Symbol" w:hAnsi="Helvetica" w:cs="Helvetica"/>
          <w:b/>
          <w:bCs/>
          <w:color w:val="222222"/>
          <w:kern w:val="0"/>
          <w:sz w:val="21"/>
          <w:szCs w:val="21"/>
          <w:lang w:eastAsia="ru-RU"/>
        </w:rPr>
      </w:pPr>
      <w:r w:rsidRPr="009A0EB7">
        <w:rPr>
          <w:rFonts w:ascii="Helvetica" w:eastAsia="Symbol" w:hAnsi="Helvetica" w:cs="Helvetica"/>
          <w:b/>
          <w:bCs/>
          <w:color w:val="222222"/>
          <w:kern w:val="0"/>
          <w:sz w:val="21"/>
          <w:szCs w:val="21"/>
          <w:lang w:eastAsia="ru-RU"/>
        </w:rPr>
        <w:t>Оглавление диссертациикандидат физико-математических наук Андрианов, Виктор Александрович</w:t>
      </w:r>
    </w:p>
    <w:p w14:paraId="69D8BA41" w14:textId="77777777" w:rsidR="009A0EB7" w:rsidRPr="009A0EB7" w:rsidRDefault="009A0EB7" w:rsidP="009A0EB7">
      <w:pPr>
        <w:rPr>
          <w:rFonts w:ascii="Helvetica" w:eastAsia="Symbol" w:hAnsi="Helvetica" w:cs="Helvetica"/>
          <w:b/>
          <w:bCs/>
          <w:color w:val="222222"/>
          <w:kern w:val="0"/>
          <w:sz w:val="21"/>
          <w:szCs w:val="21"/>
          <w:lang w:eastAsia="ru-RU"/>
        </w:rPr>
      </w:pPr>
      <w:r w:rsidRPr="009A0EB7">
        <w:rPr>
          <w:rFonts w:ascii="Helvetica" w:eastAsia="Symbol" w:hAnsi="Helvetica" w:cs="Helvetica"/>
          <w:b/>
          <w:bCs/>
          <w:color w:val="222222"/>
          <w:kern w:val="0"/>
          <w:sz w:val="21"/>
          <w:szCs w:val="21"/>
          <w:lang w:eastAsia="ru-RU"/>
        </w:rPr>
        <w:t>ВВЕДЕНИЕ</w:t>
      </w:r>
    </w:p>
    <w:p w14:paraId="3A6E2EFF" w14:textId="77777777" w:rsidR="009A0EB7" w:rsidRPr="009A0EB7" w:rsidRDefault="009A0EB7" w:rsidP="009A0EB7">
      <w:pPr>
        <w:rPr>
          <w:rFonts w:ascii="Helvetica" w:eastAsia="Symbol" w:hAnsi="Helvetica" w:cs="Helvetica"/>
          <w:b/>
          <w:bCs/>
          <w:color w:val="222222"/>
          <w:kern w:val="0"/>
          <w:sz w:val="21"/>
          <w:szCs w:val="21"/>
          <w:lang w:eastAsia="ru-RU"/>
        </w:rPr>
      </w:pPr>
      <w:r w:rsidRPr="009A0EB7">
        <w:rPr>
          <w:rFonts w:ascii="Helvetica" w:eastAsia="Symbol" w:hAnsi="Helvetica" w:cs="Helvetica"/>
          <w:b/>
          <w:bCs/>
          <w:color w:val="222222"/>
          <w:kern w:val="0"/>
          <w:sz w:val="21"/>
          <w:szCs w:val="21"/>
          <w:lang w:eastAsia="ru-RU"/>
        </w:rPr>
        <w:t>ГЛАВА I. СВЕРХТОНКИЕ ВЗАИМОДЕЙСТВИЯ В РАЗБАВЛЕННЫХ МАГНИТНЫХ СПЛАВАХ И МЕТОД ЭФФЕКТА МЕССБАУЭРА НА ОРИЕНТИРОВАННЫХ ЯДРАХ .Ю</w:t>
      </w:r>
    </w:p>
    <w:p w14:paraId="300DCF3E" w14:textId="77777777" w:rsidR="009A0EB7" w:rsidRPr="009A0EB7" w:rsidRDefault="009A0EB7" w:rsidP="009A0EB7">
      <w:pPr>
        <w:rPr>
          <w:rFonts w:ascii="Helvetica" w:eastAsia="Symbol" w:hAnsi="Helvetica" w:cs="Helvetica"/>
          <w:b/>
          <w:bCs/>
          <w:color w:val="222222"/>
          <w:kern w:val="0"/>
          <w:sz w:val="21"/>
          <w:szCs w:val="21"/>
          <w:lang w:eastAsia="ru-RU"/>
        </w:rPr>
      </w:pPr>
      <w:r w:rsidRPr="009A0EB7">
        <w:rPr>
          <w:rFonts w:ascii="Helvetica" w:eastAsia="Symbol" w:hAnsi="Helvetica" w:cs="Helvetica"/>
          <w:b/>
          <w:bCs/>
          <w:color w:val="222222"/>
          <w:kern w:val="0"/>
          <w:sz w:val="21"/>
          <w:szCs w:val="21"/>
          <w:lang w:eastAsia="ru-RU"/>
        </w:rPr>
        <w:t>1.1. Магнитное сверхтонкое взаимодействие .ю</w:t>
      </w:r>
    </w:p>
    <w:p w14:paraId="1CD458DD" w14:textId="77777777" w:rsidR="009A0EB7" w:rsidRPr="009A0EB7" w:rsidRDefault="009A0EB7" w:rsidP="009A0EB7">
      <w:pPr>
        <w:rPr>
          <w:rFonts w:ascii="Helvetica" w:eastAsia="Symbol" w:hAnsi="Helvetica" w:cs="Helvetica"/>
          <w:b/>
          <w:bCs/>
          <w:color w:val="222222"/>
          <w:kern w:val="0"/>
          <w:sz w:val="21"/>
          <w:szCs w:val="21"/>
          <w:lang w:eastAsia="ru-RU"/>
        </w:rPr>
      </w:pPr>
      <w:r w:rsidRPr="009A0EB7">
        <w:rPr>
          <w:rFonts w:ascii="Helvetica" w:eastAsia="Symbol" w:hAnsi="Helvetica" w:cs="Helvetica"/>
          <w:b/>
          <w:bCs/>
          <w:color w:val="222222"/>
          <w:kern w:val="0"/>
          <w:sz w:val="21"/>
          <w:szCs w:val="21"/>
          <w:lang w:eastAsia="ru-RU"/>
        </w:rPr>
        <w:t>1.2. Магнетизм разбавленных сплавов</w:t>
      </w:r>
    </w:p>
    <w:p w14:paraId="1961D9E0" w14:textId="77777777" w:rsidR="009A0EB7" w:rsidRPr="009A0EB7" w:rsidRDefault="009A0EB7" w:rsidP="009A0EB7">
      <w:pPr>
        <w:rPr>
          <w:rFonts w:ascii="Helvetica" w:eastAsia="Symbol" w:hAnsi="Helvetica" w:cs="Helvetica"/>
          <w:b/>
          <w:bCs/>
          <w:color w:val="222222"/>
          <w:kern w:val="0"/>
          <w:sz w:val="21"/>
          <w:szCs w:val="21"/>
          <w:lang w:eastAsia="ru-RU"/>
        </w:rPr>
      </w:pPr>
      <w:r w:rsidRPr="009A0EB7">
        <w:rPr>
          <w:rFonts w:ascii="Helvetica" w:eastAsia="Symbol" w:hAnsi="Helvetica" w:cs="Helvetica"/>
          <w:b/>
          <w:bCs/>
          <w:color w:val="222222"/>
          <w:kern w:val="0"/>
          <w:sz w:val="21"/>
          <w:szCs w:val="21"/>
          <w:lang w:eastAsia="ru-RU"/>
        </w:rPr>
        <w:t>1.3. Разбавленные сплавы палладия с железом и кобальтом .is</w:t>
      </w:r>
    </w:p>
    <w:p w14:paraId="59F013B5" w14:textId="77777777" w:rsidR="009A0EB7" w:rsidRPr="009A0EB7" w:rsidRDefault="009A0EB7" w:rsidP="009A0EB7">
      <w:pPr>
        <w:rPr>
          <w:rFonts w:ascii="Helvetica" w:eastAsia="Symbol" w:hAnsi="Helvetica" w:cs="Helvetica"/>
          <w:b/>
          <w:bCs/>
          <w:color w:val="222222"/>
          <w:kern w:val="0"/>
          <w:sz w:val="21"/>
          <w:szCs w:val="21"/>
          <w:lang w:eastAsia="ru-RU"/>
        </w:rPr>
      </w:pPr>
      <w:r w:rsidRPr="009A0EB7">
        <w:rPr>
          <w:rFonts w:ascii="Helvetica" w:eastAsia="Symbol" w:hAnsi="Helvetica" w:cs="Helvetica"/>
          <w:b/>
          <w:bCs/>
          <w:color w:val="222222"/>
          <w:kern w:val="0"/>
          <w:sz w:val="21"/>
          <w:szCs w:val="21"/>
          <w:lang w:eastAsia="ru-RU"/>
        </w:rPr>
        <w:t>1.3.1. Магнитные свойства сплавов Pdtfe и PdCo</w:t>
      </w:r>
    </w:p>
    <w:p w14:paraId="6A30DC78" w14:textId="77777777" w:rsidR="009A0EB7" w:rsidRPr="009A0EB7" w:rsidRDefault="009A0EB7" w:rsidP="009A0EB7">
      <w:pPr>
        <w:rPr>
          <w:rFonts w:ascii="Helvetica" w:eastAsia="Symbol" w:hAnsi="Helvetica" w:cs="Helvetica"/>
          <w:b/>
          <w:bCs/>
          <w:color w:val="222222"/>
          <w:kern w:val="0"/>
          <w:sz w:val="21"/>
          <w:szCs w:val="21"/>
          <w:lang w:eastAsia="ru-RU"/>
        </w:rPr>
      </w:pPr>
      <w:r w:rsidRPr="009A0EB7">
        <w:rPr>
          <w:rFonts w:ascii="Helvetica" w:eastAsia="Symbol" w:hAnsi="Helvetica" w:cs="Helvetica"/>
          <w:b/>
          <w:bCs/>
          <w:color w:val="222222"/>
          <w:kern w:val="0"/>
          <w:sz w:val="21"/>
          <w:szCs w:val="21"/>
          <w:lang w:eastAsia="ru-RU"/>
        </w:rPr>
        <w:t>1.3.2. Экспериментальные исследования сплавов PdFe и PdCo методами, основанными на измерении сверхтонких взаимодействий.</w:t>
      </w:r>
    </w:p>
    <w:p w14:paraId="6F86E000" w14:textId="77777777" w:rsidR="009A0EB7" w:rsidRPr="009A0EB7" w:rsidRDefault="009A0EB7" w:rsidP="009A0EB7">
      <w:pPr>
        <w:rPr>
          <w:rFonts w:ascii="Helvetica" w:eastAsia="Symbol" w:hAnsi="Helvetica" w:cs="Helvetica"/>
          <w:b/>
          <w:bCs/>
          <w:color w:val="222222"/>
          <w:kern w:val="0"/>
          <w:sz w:val="21"/>
          <w:szCs w:val="21"/>
          <w:lang w:eastAsia="ru-RU"/>
        </w:rPr>
      </w:pPr>
      <w:r w:rsidRPr="009A0EB7">
        <w:rPr>
          <w:rFonts w:ascii="Helvetica" w:eastAsia="Symbol" w:hAnsi="Helvetica" w:cs="Helvetica"/>
          <w:b/>
          <w:bCs/>
          <w:color w:val="222222"/>
          <w:kern w:val="0"/>
          <w:sz w:val="21"/>
          <w:szCs w:val="21"/>
          <w:lang w:eastAsia="ru-RU"/>
        </w:rPr>
        <w:t>1.4. Метод эффекта Мессбауэра на ориентированных ядрах</w:t>
      </w:r>
    </w:p>
    <w:p w14:paraId="244C5C3C" w14:textId="77777777" w:rsidR="009A0EB7" w:rsidRPr="009A0EB7" w:rsidRDefault="009A0EB7" w:rsidP="009A0EB7">
      <w:pPr>
        <w:rPr>
          <w:rFonts w:ascii="Helvetica" w:eastAsia="Symbol" w:hAnsi="Helvetica" w:cs="Helvetica"/>
          <w:b/>
          <w:bCs/>
          <w:color w:val="222222"/>
          <w:kern w:val="0"/>
          <w:sz w:val="21"/>
          <w:szCs w:val="21"/>
          <w:lang w:eastAsia="ru-RU"/>
        </w:rPr>
      </w:pPr>
      <w:r w:rsidRPr="009A0EB7">
        <w:rPr>
          <w:rFonts w:ascii="Helvetica" w:eastAsia="Symbol" w:hAnsi="Helvetica" w:cs="Helvetica"/>
          <w:b/>
          <w:bCs/>
          <w:color w:val="222222"/>
          <w:kern w:val="0"/>
          <w:sz w:val="21"/>
          <w:szCs w:val="21"/>
          <w:lang w:eastAsia="ru-RU"/>
        </w:rPr>
        <w:t>1.4.1. Основы метода.</w:t>
      </w:r>
    </w:p>
    <w:p w14:paraId="207B2392" w14:textId="77777777" w:rsidR="009A0EB7" w:rsidRPr="009A0EB7" w:rsidRDefault="009A0EB7" w:rsidP="009A0EB7">
      <w:pPr>
        <w:rPr>
          <w:rFonts w:ascii="Helvetica" w:eastAsia="Symbol" w:hAnsi="Helvetica" w:cs="Helvetica"/>
          <w:b/>
          <w:bCs/>
          <w:color w:val="222222"/>
          <w:kern w:val="0"/>
          <w:sz w:val="21"/>
          <w:szCs w:val="21"/>
          <w:lang w:eastAsia="ru-RU"/>
        </w:rPr>
      </w:pPr>
      <w:r w:rsidRPr="009A0EB7">
        <w:rPr>
          <w:rFonts w:ascii="Helvetica" w:eastAsia="Symbol" w:hAnsi="Helvetica" w:cs="Helvetica"/>
          <w:b/>
          <w:bCs/>
          <w:color w:val="222222"/>
          <w:kern w:val="0"/>
          <w:sz w:val="21"/>
          <w:szCs w:val="21"/>
          <w:lang w:eastAsia="ru-RU"/>
        </w:rPr>
        <w:t>1.4.2. Формализм факторов ориентации.</w:t>
      </w:r>
    </w:p>
    <w:p w14:paraId="2F104D3D" w14:textId="77777777" w:rsidR="009A0EB7" w:rsidRPr="009A0EB7" w:rsidRDefault="009A0EB7" w:rsidP="009A0EB7">
      <w:pPr>
        <w:rPr>
          <w:rFonts w:ascii="Helvetica" w:eastAsia="Symbol" w:hAnsi="Helvetica" w:cs="Helvetica"/>
          <w:b/>
          <w:bCs/>
          <w:color w:val="222222"/>
          <w:kern w:val="0"/>
          <w:sz w:val="21"/>
          <w:szCs w:val="21"/>
          <w:lang w:eastAsia="ru-RU"/>
        </w:rPr>
      </w:pPr>
      <w:r w:rsidRPr="009A0EB7">
        <w:rPr>
          <w:rFonts w:ascii="Helvetica" w:eastAsia="Symbol" w:hAnsi="Helvetica" w:cs="Helvetica"/>
          <w:b/>
          <w:bCs/>
          <w:color w:val="222222"/>
          <w:kern w:val="0"/>
          <w:sz w:val="21"/>
          <w:szCs w:val="21"/>
          <w:lang w:eastAsia="ru-RU"/>
        </w:rPr>
        <w:t>1.4.3. Релаксационная переориентация.</w:t>
      </w:r>
    </w:p>
    <w:p w14:paraId="1F6FF5A7" w14:textId="77777777" w:rsidR="009A0EB7" w:rsidRPr="009A0EB7" w:rsidRDefault="009A0EB7" w:rsidP="009A0EB7">
      <w:pPr>
        <w:rPr>
          <w:rFonts w:ascii="Helvetica" w:eastAsia="Symbol" w:hAnsi="Helvetica" w:cs="Helvetica"/>
          <w:b/>
          <w:bCs/>
          <w:color w:val="222222"/>
          <w:kern w:val="0"/>
          <w:sz w:val="21"/>
          <w:szCs w:val="21"/>
          <w:lang w:eastAsia="ru-RU"/>
        </w:rPr>
      </w:pPr>
      <w:r w:rsidRPr="009A0EB7">
        <w:rPr>
          <w:rFonts w:ascii="Helvetica" w:eastAsia="Symbol" w:hAnsi="Helvetica" w:cs="Helvetica"/>
          <w:b/>
          <w:bCs/>
          <w:color w:val="222222"/>
          <w:kern w:val="0"/>
          <w:sz w:val="21"/>
          <w:szCs w:val="21"/>
          <w:lang w:eastAsia="ru-RU"/>
        </w:rPr>
        <w:t>ГЛАВА П. МЕТОДИКА ЭКСПЕРИМЕНТА.</w:t>
      </w:r>
    </w:p>
    <w:p w14:paraId="252FCF00" w14:textId="77777777" w:rsidR="009A0EB7" w:rsidRPr="009A0EB7" w:rsidRDefault="009A0EB7" w:rsidP="009A0EB7">
      <w:pPr>
        <w:rPr>
          <w:rFonts w:ascii="Helvetica" w:eastAsia="Symbol" w:hAnsi="Helvetica" w:cs="Helvetica"/>
          <w:b/>
          <w:bCs/>
          <w:color w:val="222222"/>
          <w:kern w:val="0"/>
          <w:sz w:val="21"/>
          <w:szCs w:val="21"/>
          <w:lang w:eastAsia="ru-RU"/>
        </w:rPr>
      </w:pPr>
      <w:r w:rsidRPr="009A0EB7">
        <w:rPr>
          <w:rFonts w:ascii="Helvetica" w:eastAsia="Symbol" w:hAnsi="Helvetica" w:cs="Helvetica"/>
          <w:b/>
          <w:bCs/>
          <w:color w:val="222222"/>
          <w:kern w:val="0"/>
          <w:sz w:val="21"/>
          <w:szCs w:val="21"/>
          <w:lang w:eastAsia="ru-RU"/>
        </w:rPr>
        <w:t>2.1. Мессбауэровский спектрометр.</w:t>
      </w:r>
    </w:p>
    <w:p w14:paraId="362509D8" w14:textId="77777777" w:rsidR="009A0EB7" w:rsidRPr="009A0EB7" w:rsidRDefault="009A0EB7" w:rsidP="009A0EB7">
      <w:pPr>
        <w:rPr>
          <w:rFonts w:ascii="Helvetica" w:eastAsia="Symbol" w:hAnsi="Helvetica" w:cs="Helvetica"/>
          <w:b/>
          <w:bCs/>
          <w:color w:val="222222"/>
          <w:kern w:val="0"/>
          <w:sz w:val="21"/>
          <w:szCs w:val="21"/>
          <w:lang w:eastAsia="ru-RU"/>
        </w:rPr>
      </w:pPr>
      <w:r w:rsidRPr="009A0EB7">
        <w:rPr>
          <w:rFonts w:ascii="Helvetica" w:eastAsia="Symbol" w:hAnsi="Helvetica" w:cs="Helvetica"/>
          <w:b/>
          <w:bCs/>
          <w:color w:val="222222"/>
          <w:kern w:val="0"/>
          <w:sz w:val="21"/>
          <w:szCs w:val="21"/>
          <w:lang w:eastAsia="ru-RU"/>
        </w:rPr>
        <w:t>2.2. Резонансный счетчик</w:t>
      </w:r>
    </w:p>
    <w:p w14:paraId="45F76AF3" w14:textId="77777777" w:rsidR="009A0EB7" w:rsidRPr="009A0EB7" w:rsidRDefault="009A0EB7" w:rsidP="009A0EB7">
      <w:pPr>
        <w:rPr>
          <w:rFonts w:ascii="Helvetica" w:eastAsia="Symbol" w:hAnsi="Helvetica" w:cs="Helvetica"/>
          <w:b/>
          <w:bCs/>
          <w:color w:val="222222"/>
          <w:kern w:val="0"/>
          <w:sz w:val="21"/>
          <w:szCs w:val="21"/>
          <w:lang w:eastAsia="ru-RU"/>
        </w:rPr>
      </w:pPr>
      <w:r w:rsidRPr="009A0EB7">
        <w:rPr>
          <w:rFonts w:ascii="Helvetica" w:eastAsia="Symbol" w:hAnsi="Helvetica" w:cs="Helvetica"/>
          <w:b/>
          <w:bCs/>
          <w:color w:val="222222"/>
          <w:kern w:val="0"/>
          <w:sz w:val="21"/>
          <w:szCs w:val="21"/>
          <w:lang w:eastAsia="ru-RU"/>
        </w:rPr>
        <w:t>2.3. Методы и оборудование для охлаждения образцов</w:t>
      </w:r>
    </w:p>
    <w:p w14:paraId="3FCED10E" w14:textId="77777777" w:rsidR="009A0EB7" w:rsidRPr="009A0EB7" w:rsidRDefault="009A0EB7" w:rsidP="009A0EB7">
      <w:pPr>
        <w:rPr>
          <w:rFonts w:ascii="Helvetica" w:eastAsia="Symbol" w:hAnsi="Helvetica" w:cs="Helvetica"/>
          <w:b/>
          <w:bCs/>
          <w:color w:val="222222"/>
          <w:kern w:val="0"/>
          <w:sz w:val="21"/>
          <w:szCs w:val="21"/>
          <w:lang w:eastAsia="ru-RU"/>
        </w:rPr>
      </w:pPr>
      <w:r w:rsidRPr="009A0EB7">
        <w:rPr>
          <w:rFonts w:ascii="Helvetica" w:eastAsia="Symbol" w:hAnsi="Helvetica" w:cs="Helvetica"/>
          <w:b/>
          <w:bCs/>
          <w:color w:val="222222"/>
          <w:kern w:val="0"/>
          <w:sz w:val="21"/>
          <w:szCs w:val="21"/>
          <w:lang w:eastAsia="ru-RU"/>
        </w:rPr>
        <w:t>2.3.1. Рефрижератор растворения ^Не-^Не</w:t>
      </w:r>
    </w:p>
    <w:p w14:paraId="7C36EBAF" w14:textId="77777777" w:rsidR="009A0EB7" w:rsidRPr="009A0EB7" w:rsidRDefault="009A0EB7" w:rsidP="009A0EB7">
      <w:pPr>
        <w:rPr>
          <w:rFonts w:ascii="Helvetica" w:eastAsia="Symbol" w:hAnsi="Helvetica" w:cs="Helvetica"/>
          <w:b/>
          <w:bCs/>
          <w:color w:val="222222"/>
          <w:kern w:val="0"/>
          <w:sz w:val="21"/>
          <w:szCs w:val="21"/>
          <w:lang w:eastAsia="ru-RU"/>
        </w:rPr>
      </w:pPr>
      <w:r w:rsidRPr="009A0EB7">
        <w:rPr>
          <w:rFonts w:ascii="Helvetica" w:eastAsia="Symbol" w:hAnsi="Helvetica" w:cs="Helvetica"/>
          <w:b/>
          <w:bCs/>
          <w:color w:val="222222"/>
          <w:kern w:val="0"/>
          <w:sz w:val="21"/>
          <w:szCs w:val="21"/>
          <w:lang w:eastAsia="ru-RU"/>
        </w:rPr>
        <w:t>2.3.2. Криостат адиабатического размагничивания.</w:t>
      </w:r>
    </w:p>
    <w:p w14:paraId="61FCA477" w14:textId="77777777" w:rsidR="009A0EB7" w:rsidRPr="009A0EB7" w:rsidRDefault="009A0EB7" w:rsidP="009A0EB7">
      <w:pPr>
        <w:rPr>
          <w:rFonts w:ascii="Helvetica" w:eastAsia="Symbol" w:hAnsi="Helvetica" w:cs="Helvetica"/>
          <w:b/>
          <w:bCs/>
          <w:color w:val="222222"/>
          <w:kern w:val="0"/>
          <w:sz w:val="21"/>
          <w:szCs w:val="21"/>
          <w:lang w:eastAsia="ru-RU"/>
        </w:rPr>
      </w:pPr>
      <w:r w:rsidRPr="009A0EB7">
        <w:rPr>
          <w:rFonts w:ascii="Helvetica" w:eastAsia="Symbol" w:hAnsi="Helvetica" w:cs="Helvetica"/>
          <w:b/>
          <w:bCs/>
          <w:color w:val="222222"/>
          <w:kern w:val="0"/>
          <w:sz w:val="21"/>
          <w:szCs w:val="21"/>
          <w:lang w:eastAsia="ru-RU"/>
        </w:rPr>
        <w:t>2.3.3. Криостат для измерений при температурах выше</w:t>
      </w:r>
    </w:p>
    <w:p w14:paraId="343E47DE" w14:textId="77777777" w:rsidR="009A0EB7" w:rsidRPr="009A0EB7" w:rsidRDefault="009A0EB7" w:rsidP="009A0EB7">
      <w:pPr>
        <w:rPr>
          <w:rFonts w:ascii="Helvetica" w:eastAsia="Symbol" w:hAnsi="Helvetica" w:cs="Helvetica"/>
          <w:b/>
          <w:bCs/>
          <w:color w:val="222222"/>
          <w:kern w:val="0"/>
          <w:sz w:val="21"/>
          <w:szCs w:val="21"/>
          <w:lang w:eastAsia="ru-RU"/>
        </w:rPr>
      </w:pPr>
      <w:r w:rsidRPr="009A0EB7">
        <w:rPr>
          <w:rFonts w:ascii="Helvetica" w:eastAsia="Symbol" w:hAnsi="Helvetica" w:cs="Helvetica"/>
          <w:b/>
          <w:bCs/>
          <w:color w:val="222222"/>
          <w:kern w:val="0"/>
          <w:sz w:val="21"/>
          <w:szCs w:val="21"/>
          <w:lang w:eastAsia="ru-RU"/>
        </w:rPr>
        <w:t>4,2 К.</w:t>
      </w:r>
    </w:p>
    <w:p w14:paraId="5457D2EF" w14:textId="77777777" w:rsidR="009A0EB7" w:rsidRPr="009A0EB7" w:rsidRDefault="009A0EB7" w:rsidP="009A0EB7">
      <w:pPr>
        <w:rPr>
          <w:rFonts w:ascii="Helvetica" w:eastAsia="Symbol" w:hAnsi="Helvetica" w:cs="Helvetica"/>
          <w:b/>
          <w:bCs/>
          <w:color w:val="222222"/>
          <w:kern w:val="0"/>
          <w:sz w:val="21"/>
          <w:szCs w:val="21"/>
          <w:lang w:eastAsia="ru-RU"/>
        </w:rPr>
      </w:pPr>
      <w:r w:rsidRPr="009A0EB7">
        <w:rPr>
          <w:rFonts w:ascii="Helvetica" w:eastAsia="Symbol" w:hAnsi="Helvetica" w:cs="Helvetica"/>
          <w:b/>
          <w:bCs/>
          <w:color w:val="222222"/>
          <w:kern w:val="0"/>
          <w:sz w:val="21"/>
          <w:szCs w:val="21"/>
          <w:lang w:eastAsia="ru-RU"/>
        </w:rPr>
        <w:t>2.4. Установка "Спин" для изучения ядерной ориентации</w:t>
      </w:r>
    </w:p>
    <w:p w14:paraId="4843F902" w14:textId="77777777" w:rsidR="009A0EB7" w:rsidRPr="009A0EB7" w:rsidRDefault="009A0EB7" w:rsidP="009A0EB7">
      <w:pPr>
        <w:rPr>
          <w:rFonts w:ascii="Helvetica" w:eastAsia="Symbol" w:hAnsi="Helvetica" w:cs="Helvetica"/>
          <w:b/>
          <w:bCs/>
          <w:color w:val="222222"/>
          <w:kern w:val="0"/>
          <w:sz w:val="21"/>
          <w:szCs w:val="21"/>
          <w:lang w:eastAsia="ru-RU"/>
        </w:rPr>
      </w:pPr>
      <w:r w:rsidRPr="009A0EB7">
        <w:rPr>
          <w:rFonts w:ascii="Helvetica" w:eastAsia="Symbol" w:hAnsi="Helvetica" w:cs="Helvetica"/>
          <w:b/>
          <w:bCs/>
          <w:color w:val="222222"/>
          <w:kern w:val="0"/>
          <w:sz w:val="21"/>
          <w:szCs w:val="21"/>
          <w:lang w:eastAsia="ru-RU"/>
        </w:rPr>
        <w:t>2.5. Методика приготовления образцов</w:t>
      </w:r>
    </w:p>
    <w:p w14:paraId="72B4A7ED" w14:textId="77777777" w:rsidR="009A0EB7" w:rsidRPr="009A0EB7" w:rsidRDefault="009A0EB7" w:rsidP="009A0EB7">
      <w:pPr>
        <w:rPr>
          <w:rFonts w:ascii="Helvetica" w:eastAsia="Symbol" w:hAnsi="Helvetica" w:cs="Helvetica"/>
          <w:b/>
          <w:bCs/>
          <w:color w:val="222222"/>
          <w:kern w:val="0"/>
          <w:sz w:val="21"/>
          <w:szCs w:val="21"/>
          <w:lang w:eastAsia="ru-RU"/>
        </w:rPr>
      </w:pPr>
      <w:r w:rsidRPr="009A0EB7">
        <w:rPr>
          <w:rFonts w:ascii="Helvetica" w:eastAsia="Symbol" w:hAnsi="Helvetica" w:cs="Helvetica"/>
          <w:b/>
          <w:bCs/>
          <w:color w:val="222222"/>
          <w:kern w:val="0"/>
          <w:sz w:val="21"/>
          <w:szCs w:val="21"/>
          <w:lang w:eastAsia="ru-RU"/>
        </w:rPr>
        <w:t>2.6. Математическая обработка спектров</w:t>
      </w:r>
    </w:p>
    <w:p w14:paraId="179B2603" w14:textId="77777777" w:rsidR="009A0EB7" w:rsidRPr="009A0EB7" w:rsidRDefault="009A0EB7" w:rsidP="009A0EB7">
      <w:pPr>
        <w:rPr>
          <w:rFonts w:ascii="Helvetica" w:eastAsia="Symbol" w:hAnsi="Helvetica" w:cs="Helvetica"/>
          <w:b/>
          <w:bCs/>
          <w:color w:val="222222"/>
          <w:kern w:val="0"/>
          <w:sz w:val="21"/>
          <w:szCs w:val="21"/>
          <w:lang w:eastAsia="ru-RU"/>
        </w:rPr>
      </w:pPr>
      <w:r w:rsidRPr="009A0EB7">
        <w:rPr>
          <w:rFonts w:ascii="Helvetica" w:eastAsia="Symbol" w:hAnsi="Helvetica" w:cs="Helvetica"/>
          <w:b/>
          <w:bCs/>
          <w:color w:val="222222"/>
          <w:kern w:val="0"/>
          <w:sz w:val="21"/>
          <w:szCs w:val="21"/>
          <w:lang w:eastAsia="ru-RU"/>
        </w:rPr>
        <w:t>ГЛАВА Ш. ИССЛЕДОВАНИЕ ПРИМЕСНОГО ФЕРРОМАГНЕТИЗМА СИСТЕМЫ</w:t>
      </w:r>
    </w:p>
    <w:p w14:paraId="360DFEC2" w14:textId="77777777" w:rsidR="009A0EB7" w:rsidRPr="009A0EB7" w:rsidRDefault="009A0EB7" w:rsidP="009A0EB7">
      <w:pPr>
        <w:rPr>
          <w:rFonts w:ascii="Helvetica" w:eastAsia="Symbol" w:hAnsi="Helvetica" w:cs="Helvetica"/>
          <w:b/>
          <w:bCs/>
          <w:color w:val="222222"/>
          <w:kern w:val="0"/>
          <w:sz w:val="21"/>
          <w:szCs w:val="21"/>
          <w:lang w:eastAsia="ru-RU"/>
        </w:rPr>
      </w:pPr>
      <w:r w:rsidRPr="009A0EB7">
        <w:rPr>
          <w:rFonts w:ascii="Helvetica" w:eastAsia="Symbol" w:hAnsi="Helvetica" w:cs="Helvetica"/>
          <w:b/>
          <w:bCs/>
          <w:color w:val="222222"/>
          <w:kern w:val="0"/>
          <w:sz w:val="21"/>
          <w:szCs w:val="21"/>
          <w:lang w:eastAsia="ru-RU"/>
        </w:rPr>
        <w:t>3.1. Мессбауэровские спектры сплава PdCo</w:t>
      </w:r>
    </w:p>
    <w:p w14:paraId="51F31EC2" w14:textId="77777777" w:rsidR="009A0EB7" w:rsidRPr="009A0EB7" w:rsidRDefault="009A0EB7" w:rsidP="009A0EB7">
      <w:pPr>
        <w:rPr>
          <w:rFonts w:ascii="Helvetica" w:eastAsia="Symbol" w:hAnsi="Helvetica" w:cs="Helvetica"/>
          <w:b/>
          <w:bCs/>
          <w:color w:val="222222"/>
          <w:kern w:val="0"/>
          <w:sz w:val="21"/>
          <w:szCs w:val="21"/>
          <w:lang w:eastAsia="ru-RU"/>
        </w:rPr>
      </w:pPr>
      <w:r w:rsidRPr="009A0EB7">
        <w:rPr>
          <w:rFonts w:ascii="Helvetica" w:eastAsia="Symbol" w:hAnsi="Helvetica" w:cs="Helvetica"/>
          <w:b/>
          <w:bCs/>
          <w:color w:val="222222"/>
          <w:kern w:val="0"/>
          <w:sz w:val="21"/>
          <w:szCs w:val="21"/>
          <w:lang w:eastAsia="ru-RU"/>
        </w:rPr>
        <w:t>3.2. Распределение локальной намагниченности p(S2,t) сплава.</w:t>
      </w:r>
    </w:p>
    <w:p w14:paraId="76EFE0D9" w14:textId="77777777" w:rsidR="009A0EB7" w:rsidRPr="009A0EB7" w:rsidRDefault="009A0EB7" w:rsidP="009A0EB7">
      <w:pPr>
        <w:rPr>
          <w:rFonts w:ascii="Helvetica" w:eastAsia="Symbol" w:hAnsi="Helvetica" w:cs="Helvetica"/>
          <w:b/>
          <w:bCs/>
          <w:color w:val="222222"/>
          <w:kern w:val="0"/>
          <w:sz w:val="21"/>
          <w:szCs w:val="21"/>
          <w:lang w:eastAsia="ru-RU"/>
        </w:rPr>
      </w:pPr>
      <w:r w:rsidRPr="009A0EB7">
        <w:rPr>
          <w:rFonts w:ascii="Helvetica" w:eastAsia="Symbol" w:hAnsi="Helvetica" w:cs="Helvetica"/>
          <w:b/>
          <w:bCs/>
          <w:color w:val="222222"/>
          <w:kern w:val="0"/>
          <w:sz w:val="21"/>
          <w:szCs w:val="21"/>
          <w:lang w:eastAsia="ru-RU"/>
        </w:rPr>
        <w:lastRenderedPageBreak/>
        <w:t>3.3. Приведенная средняя намагниченность 6СГ)</w:t>
      </w:r>
    </w:p>
    <w:p w14:paraId="6B91E602" w14:textId="77777777" w:rsidR="009A0EB7" w:rsidRPr="009A0EB7" w:rsidRDefault="009A0EB7" w:rsidP="009A0EB7">
      <w:pPr>
        <w:rPr>
          <w:rFonts w:ascii="Helvetica" w:eastAsia="Symbol" w:hAnsi="Helvetica" w:cs="Helvetica"/>
          <w:b/>
          <w:bCs/>
          <w:color w:val="222222"/>
          <w:kern w:val="0"/>
          <w:sz w:val="21"/>
          <w:szCs w:val="21"/>
          <w:lang w:eastAsia="ru-RU"/>
        </w:rPr>
      </w:pPr>
      <w:r w:rsidRPr="009A0EB7">
        <w:rPr>
          <w:rFonts w:ascii="Helvetica" w:eastAsia="Symbol" w:hAnsi="Helvetica" w:cs="Helvetica"/>
          <w:b/>
          <w:bCs/>
          <w:color w:val="222222"/>
          <w:kern w:val="0"/>
          <w:sz w:val="21"/>
          <w:szCs w:val="21"/>
          <w:lang w:eastAsia="ru-RU"/>
        </w:rPr>
        <w:t>3.4. Температурные зависимости локальной намагниченности отдельных примесных атомов s*(t)</w:t>
      </w:r>
    </w:p>
    <w:p w14:paraId="3869883D" w14:textId="6681AB18" w:rsidR="00F11235" w:rsidRPr="009A0EB7" w:rsidRDefault="00F11235" w:rsidP="009A0EB7"/>
    <w:sectPr w:rsidR="00F11235" w:rsidRPr="009A0EB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A5AE3" w14:textId="77777777" w:rsidR="00F1395D" w:rsidRDefault="00F1395D">
      <w:pPr>
        <w:spacing w:after="0" w:line="240" w:lineRule="auto"/>
      </w:pPr>
      <w:r>
        <w:separator/>
      </w:r>
    </w:p>
  </w:endnote>
  <w:endnote w:type="continuationSeparator" w:id="0">
    <w:p w14:paraId="51D8B807" w14:textId="77777777" w:rsidR="00F1395D" w:rsidRDefault="00F13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2F3D7" w14:textId="77777777" w:rsidR="00F1395D" w:rsidRDefault="00F1395D"/>
    <w:p w14:paraId="7CA12D7C" w14:textId="77777777" w:rsidR="00F1395D" w:rsidRDefault="00F1395D"/>
    <w:p w14:paraId="4E5AD898" w14:textId="77777777" w:rsidR="00F1395D" w:rsidRDefault="00F1395D"/>
    <w:p w14:paraId="0E342473" w14:textId="77777777" w:rsidR="00F1395D" w:rsidRDefault="00F1395D"/>
    <w:p w14:paraId="01671278" w14:textId="77777777" w:rsidR="00F1395D" w:rsidRDefault="00F1395D"/>
    <w:p w14:paraId="6A3C2C08" w14:textId="77777777" w:rsidR="00F1395D" w:rsidRDefault="00F1395D"/>
    <w:p w14:paraId="21720FB8" w14:textId="77777777" w:rsidR="00F1395D" w:rsidRDefault="00F139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A840FB" wp14:editId="44D1A1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C0F40" w14:textId="77777777" w:rsidR="00F1395D" w:rsidRDefault="00F139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A840F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7C0F40" w14:textId="77777777" w:rsidR="00F1395D" w:rsidRDefault="00F139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D1B87F" w14:textId="77777777" w:rsidR="00F1395D" w:rsidRDefault="00F1395D"/>
    <w:p w14:paraId="1B9FB1E3" w14:textId="77777777" w:rsidR="00F1395D" w:rsidRDefault="00F1395D"/>
    <w:p w14:paraId="58780B75" w14:textId="77777777" w:rsidR="00F1395D" w:rsidRDefault="00F139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22B87C" wp14:editId="040C50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DE22C" w14:textId="77777777" w:rsidR="00F1395D" w:rsidRDefault="00F1395D"/>
                          <w:p w14:paraId="5FBA8574" w14:textId="77777777" w:rsidR="00F1395D" w:rsidRDefault="00F139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22B8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5DE22C" w14:textId="77777777" w:rsidR="00F1395D" w:rsidRDefault="00F1395D"/>
                    <w:p w14:paraId="5FBA8574" w14:textId="77777777" w:rsidR="00F1395D" w:rsidRDefault="00F139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5C77F9" w14:textId="77777777" w:rsidR="00F1395D" w:rsidRDefault="00F1395D"/>
    <w:p w14:paraId="46735796" w14:textId="77777777" w:rsidR="00F1395D" w:rsidRDefault="00F1395D">
      <w:pPr>
        <w:rPr>
          <w:sz w:val="2"/>
          <w:szCs w:val="2"/>
        </w:rPr>
      </w:pPr>
    </w:p>
    <w:p w14:paraId="51F3DDF2" w14:textId="77777777" w:rsidR="00F1395D" w:rsidRDefault="00F1395D"/>
    <w:p w14:paraId="13967F8F" w14:textId="77777777" w:rsidR="00F1395D" w:rsidRDefault="00F1395D">
      <w:pPr>
        <w:spacing w:after="0" w:line="240" w:lineRule="auto"/>
      </w:pPr>
    </w:p>
  </w:footnote>
  <w:footnote w:type="continuationSeparator" w:id="0">
    <w:p w14:paraId="1B195439" w14:textId="77777777" w:rsidR="00F1395D" w:rsidRDefault="00F13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5D"/>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166936</TotalTime>
  <Pages>2</Pages>
  <Words>246</Words>
  <Characters>1403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5224</cp:revision>
  <cp:lastPrinted>2009-02-06T05:36:00Z</cp:lastPrinted>
  <dcterms:created xsi:type="dcterms:W3CDTF">2024-01-07T13:43:00Z</dcterms:created>
  <dcterms:modified xsi:type="dcterms:W3CDTF">2025-09-19T20:04:00Z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