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D27819" w:rsidRDefault="00D27819" w:rsidP="00D27819">
      <w:r w:rsidRPr="00EE7843">
        <w:rPr>
          <w:rFonts w:ascii="Times New Roman" w:hAnsi="Times New Roman" w:cs="Times New Roman"/>
          <w:b/>
          <w:bCs/>
          <w:kern w:val="24"/>
          <w:sz w:val="24"/>
          <w:szCs w:val="24"/>
        </w:rPr>
        <w:t>Котко Яна Миколаївна</w:t>
      </w:r>
      <w:r w:rsidRPr="00EE7843">
        <w:rPr>
          <w:rFonts w:ascii="Times New Roman" w:hAnsi="Times New Roman" w:cs="Times New Roman"/>
          <w:kern w:val="24"/>
          <w:sz w:val="24"/>
          <w:szCs w:val="24"/>
        </w:rPr>
        <w:t>, асистент кафедри підприємництва, торгівлі та біржової діяльності Харківського національного технічного університету сільського господарства імені Петра Василенка. Назва дисертації: «Управління розвитком підприємств-виробників продукції рослинництва». Шифр та назва спеціальності – 08.00.04 – економіка та управління підприємствами (за видами економічної діяльності). Спецрада Д</w:t>
      </w:r>
      <w:r w:rsidRPr="00EE7843">
        <w:rPr>
          <w:rFonts w:ascii="Times New Roman" w:hAnsi="Times New Roman" w:cs="Times New Roman"/>
          <w:kern w:val="24"/>
          <w:sz w:val="24"/>
          <w:szCs w:val="24"/>
          <w:lang w:val="en-US"/>
        </w:rPr>
        <w:t> </w:t>
      </w:r>
      <w:r w:rsidRPr="00EE7843">
        <w:rPr>
          <w:rFonts w:ascii="Times New Roman" w:hAnsi="Times New Roman" w:cs="Times New Roman"/>
          <w:kern w:val="24"/>
          <w:sz w:val="24"/>
          <w:szCs w:val="24"/>
        </w:rPr>
        <w:t>55.859.01 Сумського національного аграрного університету</w:t>
      </w:r>
    </w:p>
    <w:sectPr w:rsidR="00F95DD1" w:rsidRPr="00D278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D27819" w:rsidRPr="00D2781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425B7-A77C-4A2B-AF90-E683B13A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2021-03-12T18:42:00Z</dcterms:created>
  <dcterms:modified xsi:type="dcterms:W3CDTF">2021-03-13T19:56:00Z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