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2E66" w14:textId="2B1F3A02" w:rsidR="001A160A" w:rsidRDefault="005E4732" w:rsidP="005E4732">
      <w:pPr>
        <w:rPr>
          <w:rFonts w:ascii="Verdana" w:hAnsi="Verdana"/>
          <w:b/>
          <w:bCs/>
          <w:color w:val="000000"/>
          <w:shd w:val="clear" w:color="auto" w:fill="FFFFFF"/>
        </w:rPr>
      </w:pPr>
      <w:r>
        <w:rPr>
          <w:rFonts w:ascii="Verdana" w:hAnsi="Verdana"/>
          <w:b/>
          <w:bCs/>
          <w:color w:val="000000"/>
          <w:shd w:val="clear" w:color="auto" w:fill="FFFFFF"/>
        </w:rPr>
        <w:t>Білянський Олександр Максимович. Організаційно-фінансовий механізм розвитку житлово-комунального господарства : Дис... канд. екон. наук: 08.10.01 / Харківська національна академія міського господарства. — Х., 2006. — 189арк. — Бібліогр.: арк. 138-154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4732" w:rsidRPr="005E4732" w14:paraId="47EEED49" w14:textId="77777777" w:rsidTr="005E47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732" w:rsidRPr="005E4732" w14:paraId="1A0122D7" w14:textId="77777777">
              <w:trPr>
                <w:tblCellSpacing w:w="0" w:type="dxa"/>
              </w:trPr>
              <w:tc>
                <w:tcPr>
                  <w:tcW w:w="0" w:type="auto"/>
                  <w:vAlign w:val="center"/>
                  <w:hideMark/>
                </w:tcPr>
                <w:p w14:paraId="366D7D32"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b/>
                      <w:bCs/>
                      <w:sz w:val="24"/>
                      <w:szCs w:val="24"/>
                    </w:rPr>
                    <w:lastRenderedPageBreak/>
                    <w:t>Білянський О.М. Організаційно-фінансовий механізм розвитку житлово-комунального господарства. – Рукопис.</w:t>
                  </w:r>
                </w:p>
                <w:p w14:paraId="2168B11F"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Харків, 2006.</w:t>
                  </w:r>
                </w:p>
                <w:p w14:paraId="485FB074"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Дисертація присвячена розробці теоретичних основ і методичних рекомендацій щодо удосконалення організаційно-фінансового механізму стабілізації і розвитку житлово-комунального господарства. Розроблена методика ціноутворення, що забезпечує покриття тарифом економічно обгрунтованих витрат та інвестиційної складової. У роботі на основі аналізу технічного та фінансового стану галузі показана можливість фінансування розвитку галузі переважно за рахунок інвестицій та реінвестицій у високоефективні проекти ресурсозбереження із суттєвим скороченням бюджетного фінансування. Для обгрунтування проектів та інвестиційних потреб запропоновано методи розробки й оптимізації ієрархічної системи програм (область – місто – підприємство), організацію управління програмами на засадах методології проектного менеджменту.</w:t>
                  </w:r>
                </w:p>
              </w:tc>
            </w:tr>
          </w:tbl>
          <w:p w14:paraId="38A25DA2" w14:textId="77777777" w:rsidR="005E4732" w:rsidRPr="005E4732" w:rsidRDefault="005E4732" w:rsidP="005E4732">
            <w:pPr>
              <w:spacing w:after="0" w:line="240" w:lineRule="auto"/>
              <w:rPr>
                <w:rFonts w:ascii="Times New Roman" w:eastAsia="Times New Roman" w:hAnsi="Times New Roman" w:cs="Times New Roman"/>
                <w:sz w:val="24"/>
                <w:szCs w:val="24"/>
              </w:rPr>
            </w:pPr>
          </w:p>
        </w:tc>
      </w:tr>
      <w:tr w:rsidR="005E4732" w:rsidRPr="005E4732" w14:paraId="1971C352" w14:textId="77777777" w:rsidTr="005E47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732" w:rsidRPr="005E4732" w14:paraId="20B9B64B" w14:textId="77777777">
              <w:trPr>
                <w:tblCellSpacing w:w="0" w:type="dxa"/>
              </w:trPr>
              <w:tc>
                <w:tcPr>
                  <w:tcW w:w="0" w:type="auto"/>
                  <w:vAlign w:val="center"/>
                  <w:hideMark/>
                </w:tcPr>
                <w:p w14:paraId="3411F6C4"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 обґрунтування організаційно-фінансового механізму розвитку галузі житлово-комунального господарства, при застосуванні комплексу методів проектного управління і впровадженні мультипроектів для реалізації програм розвитку та реформування житлово-комунального господарства міст і регіонів, що виявляється в:</w:t>
                  </w:r>
                </w:p>
                <w:p w14:paraId="30349099"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1. Значне і тривале погіршення технічного стану комунальної інфраструктури на фоні подорожчання матеріальних (енергетичних) ресурсів викликало як збільшення втрат та ресурсоємності галузі, так і подорожчання послуг в цілому. В дисертації висунута наступна гіпотеза: розвиток галузі може бути забезпечений в першу чергу заходами, інвестиції на здійснення яких є окупними і не вимагають бюджетного фінансування. При цьому, чим гірший стан об’єкта і вищі операційні витрати, тим швидша окупність інвестицій. Таким чином показано, що природно монопольна галузь містить внутрішній механізм розвитку, вхідним ресурсом для якого виступають капітали фінансових ринків в тій мірі, в якій прибутковість інвестицій у проекти перевищує вартість залученого капіталу. Подальшим завданням роботи було розкрити фінансові та організаційні умови активізації запропонованого механізму розвитку.</w:t>
                  </w:r>
                </w:p>
                <w:p w14:paraId="6B9C1DCA"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2. Загальною передумовою розвитку є фінансова стабілізація підприємств, яка значною мірою може бути забезпечена різними організаційними заходами на рівні держави, регіону та підприємства. В роботі здійснено аналіз та оцінку цих заходів з позицій ліквідації минулих деформацій. Подальший розвиток має регулюватися тарифною політикою, основами якої є, з одного боку, ресурсозаощадження, а з другого – повернення інвестиційних коштів.</w:t>
                  </w:r>
                </w:p>
                <w:p w14:paraId="5F2FB0E9"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3. Розглядаючи інвестиції в галузь, Загальнодержавну програму реформування і розвитку в дисертації розглянуто як ієрархію складних проектів: від регіональних та місцевих програм до стратегій підприємств та окремих заходів. Показано, що кожна з програм і кожний із заходів можуть бути змодельовані у вигляді інвестиційного процесу: календарного графіку та грошового потоку, тільки на основі цього може визначити дійсну потребу в інвестиціях, час здійснення проекту, окупність та прибутковість, а отже доцільність здійснення та джерела фінансування.</w:t>
                  </w:r>
                </w:p>
                <w:p w14:paraId="43A2D574"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lastRenderedPageBreak/>
                    <w:t>4. Розроблено методи побудови програм реформування та розвитку житлово-комунального господарства на різних рівнях із застосуванням методології управління проектами. Цей підхід дозволяє не тільки формувати обґрунтовані й фінансово забезпечені програми розвитку галузі, але й здійснювати моніторинг ходу втілення заходів програм та управляти цим процесом з метою їх успішного всебічного виконання. Робота з інвестиційного планування регіональних програм і проектів, залучення інвесторів, моніторингу і контролю розвитку має здійснюватися фаховими групами управління проектами</w:t>
                  </w:r>
                  <w:r w:rsidRPr="005E4732">
                    <w:rPr>
                      <w:rFonts w:ascii="Times New Roman" w:eastAsia="Times New Roman" w:hAnsi="Times New Roman" w:cs="Times New Roman"/>
                      <w:i/>
                      <w:iCs/>
                      <w:sz w:val="24"/>
                      <w:szCs w:val="24"/>
                    </w:rPr>
                    <w:t> </w:t>
                  </w:r>
                  <w:r w:rsidRPr="005E4732">
                    <w:rPr>
                      <w:rFonts w:ascii="Times New Roman" w:eastAsia="Times New Roman" w:hAnsi="Times New Roman" w:cs="Times New Roman"/>
                      <w:sz w:val="24"/>
                      <w:szCs w:val="24"/>
                    </w:rPr>
                    <w:t>за рахунок загальних інвестиційних (бюджетних) витрат. Розвиток галузі в цілому мусить контролюватися на центральному рівні за допомогою системи індикаторів, запропонованих у дисертації.</w:t>
                  </w:r>
                </w:p>
                <w:p w14:paraId="58E391D0"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5. Для розробки програм розвитку ЖКГ регіонів пропонуються методи формування стратегій підприємств на основі комбінації невеликої кількості заходів та оцінки прийнятності можливих сценаріїв. Показано, як на рівні мультипроекту (стратегічного плану) підприємства існує можливість оптимізації потреб в інвестиціях та прискорення окупності за рахунок раціонального графіку та реінвестування доходів попередніх проектів. На рівні регіону доведена можливість додаткової оптимізації портфеля проектів підприємств. Такі емерджентні доходи були б неможливим й при розгляді підприємств як незалежних об’єктів інвестування, тому тільки розгляд житлово-комунальних підприємств як складових міських, районних й обласних програм розвитку галузі дозволяє вирішити цю проблему.</w:t>
                  </w:r>
                </w:p>
                <w:p w14:paraId="2D5DCE20"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6. На основі визначення інвестиційних планів пропонується методика розрахунку тарифу та його інвестиційної складової. Обґрунтовується, що тариф має відбивати конкретні особливості програми розвитку підприємства або групи підприємств регіону і регулюється з метою здійснення ефективних, в тому числі соціально значущих проектів. Перевагою розробленого методу є можливість науково обґрунтованого розрахунку не тільки розміру тарифів, але й тривалості їхньої дії, після чого вони можуть бути змінені з урахуванням економії, одержаної від впровадження проектів.</w:t>
                  </w:r>
                </w:p>
                <w:p w14:paraId="02B97B3E" w14:textId="77777777" w:rsidR="005E4732" w:rsidRPr="005E4732" w:rsidRDefault="005E4732" w:rsidP="005E47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732">
                    <w:rPr>
                      <w:rFonts w:ascii="Times New Roman" w:eastAsia="Times New Roman" w:hAnsi="Times New Roman" w:cs="Times New Roman"/>
                      <w:sz w:val="24"/>
                      <w:szCs w:val="24"/>
                    </w:rPr>
                    <w:t>7. Дисертаційні розробки створюють передумови для мінімізації позикових коштів на здійснення програм, для впровадження проектів та заходів, загальна вартість яких перевищує обсяги залучених інвестицій, для мінімізації бюджетного фінансування, зниження рівня тарифів завдяки втіленню ресурсозберігаючих програм розвитку галузі.</w:t>
                  </w:r>
                </w:p>
              </w:tc>
            </w:tr>
          </w:tbl>
          <w:p w14:paraId="0F931AA4" w14:textId="77777777" w:rsidR="005E4732" w:rsidRPr="005E4732" w:rsidRDefault="005E4732" w:rsidP="005E4732">
            <w:pPr>
              <w:spacing w:after="0" w:line="240" w:lineRule="auto"/>
              <w:rPr>
                <w:rFonts w:ascii="Times New Roman" w:eastAsia="Times New Roman" w:hAnsi="Times New Roman" w:cs="Times New Roman"/>
                <w:sz w:val="24"/>
                <w:szCs w:val="24"/>
              </w:rPr>
            </w:pPr>
          </w:p>
        </w:tc>
      </w:tr>
    </w:tbl>
    <w:p w14:paraId="680125D5" w14:textId="77777777" w:rsidR="005E4732" w:rsidRPr="005E4732" w:rsidRDefault="005E4732" w:rsidP="005E4732"/>
    <w:sectPr w:rsidR="005E4732" w:rsidRPr="005E47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92D1" w14:textId="77777777" w:rsidR="00AB20AC" w:rsidRDefault="00AB20AC">
      <w:pPr>
        <w:spacing w:after="0" w:line="240" w:lineRule="auto"/>
      </w:pPr>
      <w:r>
        <w:separator/>
      </w:r>
    </w:p>
  </w:endnote>
  <w:endnote w:type="continuationSeparator" w:id="0">
    <w:p w14:paraId="3C954852" w14:textId="77777777" w:rsidR="00AB20AC" w:rsidRDefault="00AB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0052" w14:textId="77777777" w:rsidR="00AB20AC" w:rsidRDefault="00AB20AC">
      <w:pPr>
        <w:spacing w:after="0" w:line="240" w:lineRule="auto"/>
      </w:pPr>
      <w:r>
        <w:separator/>
      </w:r>
    </w:p>
  </w:footnote>
  <w:footnote w:type="continuationSeparator" w:id="0">
    <w:p w14:paraId="1EDCFE0F" w14:textId="77777777" w:rsidR="00AB20AC" w:rsidRDefault="00AB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20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0AC"/>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93694</TotalTime>
  <Pages>3</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4893</cp:revision>
  <dcterms:created xsi:type="dcterms:W3CDTF">2024-06-20T08:51:00Z</dcterms:created>
  <dcterms:modified xsi:type="dcterms:W3CDTF">2024-09-30T16:14:00Z</dcterms:modified>
  <cp:category/>
</cp:coreProperties>
</file>