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68" w:rsidRDefault="001D2968" w:rsidP="001D29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Русин-Гриник Роман Романович</w:t>
      </w:r>
      <w:r>
        <w:rPr>
          <w:rFonts w:ascii="CIDFont+F3" w:hAnsi="CIDFont+F3" w:cs="CIDFont+F3"/>
          <w:kern w:val="0"/>
          <w:sz w:val="28"/>
          <w:szCs w:val="28"/>
          <w:lang w:eastAsia="ru-RU"/>
        </w:rPr>
        <w:t>, асистент кафедри Національного</w:t>
      </w:r>
    </w:p>
    <w:p w:rsidR="001D2968" w:rsidRDefault="001D2968" w:rsidP="001D29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«Львівська політехніка», тема дисертації: «Управління</w:t>
      </w:r>
    </w:p>
    <w:p w:rsidR="001D2968" w:rsidRDefault="001D2968" w:rsidP="001D29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підприємницькими структурами на засадах забезпечення їх</w:t>
      </w:r>
    </w:p>
    <w:p w:rsidR="001D2968" w:rsidRDefault="001D2968" w:rsidP="001D29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конкурентоспроможності», (076 Підприємництво, торгівля та біржова</w:t>
      </w:r>
    </w:p>
    <w:p w:rsidR="001D2968" w:rsidRDefault="001D2968" w:rsidP="001D29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діяльність). Спеціалізована вчена рада ДФ 35.052.021 в Національному</w:t>
      </w:r>
    </w:p>
    <w:p w:rsidR="00D66F00" w:rsidRPr="001D2968" w:rsidRDefault="001D2968" w:rsidP="001D2968">
      <w:r>
        <w:rPr>
          <w:rFonts w:ascii="CIDFont+F3" w:hAnsi="CIDFont+F3" w:cs="CIDFont+F3"/>
          <w:kern w:val="0"/>
          <w:sz w:val="28"/>
          <w:szCs w:val="28"/>
          <w:lang w:eastAsia="ru-RU"/>
        </w:rPr>
        <w:t>університеті «Львівська політехніка»</w:t>
      </w:r>
    </w:p>
    <w:sectPr w:rsidR="00D66F00" w:rsidRPr="001D296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1D2968" w:rsidRPr="001D29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02F9A-C97E-4F91-9714-C98521E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3183</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2021-12-23T09:52:00Z</dcterms:created>
  <dcterms:modified xsi:type="dcterms:W3CDTF">2021-12-27T12:48:00Z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