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67F30" w:rsidRDefault="00567F30" w:rsidP="00567F30">
      <w:r w:rsidRPr="00AC584C">
        <w:rPr>
          <w:rFonts w:ascii="Times New Roman" w:eastAsia="Times New Roman" w:hAnsi="Times New Roman" w:cs="Times New Roman"/>
          <w:b/>
          <w:bCs/>
          <w:sz w:val="24"/>
          <w:szCs w:val="24"/>
          <w:lang w:eastAsia="ru-RU"/>
        </w:rPr>
        <w:t xml:space="preserve">Щудло Тарас Сергійович, </w:t>
      </w:r>
      <w:r w:rsidRPr="00AC584C">
        <w:rPr>
          <w:rFonts w:ascii="Times New Roman" w:eastAsia="Times New Roman" w:hAnsi="Times New Roman" w:cs="Times New Roman"/>
          <w:sz w:val="24"/>
          <w:szCs w:val="24"/>
          <w:lang w:eastAsia="ru-RU"/>
        </w:rPr>
        <w:t xml:space="preserve">науковий співробітник Інституту вугільних енерготехнологій Національної академії наук України. </w:t>
      </w:r>
      <w:r w:rsidRPr="00AC584C">
        <w:rPr>
          <w:rFonts w:ascii="Times New Roman" w:eastAsia="Times New Roman" w:hAnsi="Times New Roman" w:cs="Times New Roman"/>
          <w:iCs/>
          <w:sz w:val="24"/>
          <w:szCs w:val="24"/>
          <w:lang w:eastAsia="ru-RU"/>
        </w:rPr>
        <w:t>Назва дисертації</w:t>
      </w:r>
      <w:r w:rsidRPr="00AC584C">
        <w:rPr>
          <w:rFonts w:ascii="Times New Roman" w:eastAsia="Times New Roman" w:hAnsi="Times New Roman" w:cs="Times New Roman"/>
          <w:sz w:val="24"/>
          <w:szCs w:val="24"/>
          <w:lang w:eastAsia="ru-RU"/>
        </w:rPr>
        <w:t xml:space="preserve">: «Особливості спільного спалювання біомаси та вугілля українських покладів в факельних котлоагрегатах». </w:t>
      </w:r>
      <w:r w:rsidRPr="00AC584C">
        <w:rPr>
          <w:rFonts w:ascii="Times New Roman" w:eastAsia="Times New Roman" w:hAnsi="Times New Roman" w:cs="Times New Roman"/>
          <w:iCs/>
          <w:sz w:val="24"/>
          <w:szCs w:val="24"/>
          <w:lang w:eastAsia="ru-RU"/>
        </w:rPr>
        <w:t>Шифр та назва спеціальності</w:t>
      </w:r>
      <w:r w:rsidRPr="00AC584C">
        <w:rPr>
          <w:rFonts w:ascii="Times New Roman" w:eastAsia="Times New Roman" w:hAnsi="Times New Roman" w:cs="Times New Roman"/>
          <w:sz w:val="24"/>
          <w:szCs w:val="24"/>
          <w:lang w:eastAsia="ru-RU"/>
        </w:rPr>
        <w:t xml:space="preserve"> – 05.14.06 – технічна теплофізика та промислова теплоенергетика. С</w:t>
      </w:r>
      <w:r w:rsidRPr="00AC584C">
        <w:rPr>
          <w:rFonts w:ascii="Times New Roman" w:eastAsia="Times New Roman" w:hAnsi="Times New Roman" w:cs="Times New Roman"/>
          <w:iCs/>
          <w:sz w:val="24"/>
          <w:szCs w:val="24"/>
          <w:lang w:eastAsia="ru-RU"/>
        </w:rPr>
        <w:t>пецрада</w:t>
      </w:r>
      <w:r w:rsidRPr="00AC584C">
        <w:rPr>
          <w:rFonts w:ascii="Times New Roman" w:eastAsia="Times New Roman" w:hAnsi="Times New Roman" w:cs="Times New Roman"/>
          <w:sz w:val="24"/>
          <w:szCs w:val="24"/>
          <w:lang w:eastAsia="ru-RU"/>
        </w:rPr>
        <w:t xml:space="preserve"> К 26.058.05 Національного університету харчових технологій Міністерства освіти і науки України</w:t>
      </w:r>
    </w:p>
    <w:sectPr w:rsidR="000D5E82" w:rsidRPr="00567F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567F30" w:rsidRPr="00567F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14F28-E8ED-4849-A550-557F2A13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3862</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2021-01-21T08:41:00Z</dcterms:created>
  <dcterms:modified xsi:type="dcterms:W3CDTF">2021-02-05T21:27:00Z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