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2ACD"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Чудин, Николай Васильевич.</w:t>
      </w:r>
    </w:p>
    <w:p w14:paraId="5D00AC73"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Баллонные моды и энергобаланс в токамаке с адиабатическим сжатием : диссертация ... кандидата физико-математических наук : 01.04.08. - Москва, 1985. - 132 с. : ил.</w:t>
      </w:r>
    </w:p>
    <w:p w14:paraId="7DE49788"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Оглавление диссертациикандидат физико-математических наук Чудин, Николай Васильевич</w:t>
      </w:r>
    </w:p>
    <w:p w14:paraId="459641DB"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ВВЕДЕНИЕ.</w:t>
      </w:r>
    </w:p>
    <w:p w14:paraId="3069355E"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ГЛАВА I. АНАЛИТИЧЕСКИМ КРИТЕРИИ УСТОЙЧИВОСТИ БАЛЛОННЫХ МОД В ТОКАМАКЕ С НЕКРУГЛЫМ СЕЧЕНИЕМ</w:t>
      </w:r>
    </w:p>
    <w:p w14:paraId="4F312393"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I.I. Исходные уравнения для идеальных баллонных мод в токамаке</w:t>
      </w:r>
    </w:p>
    <w:p w14:paraId="2B2EA2BC"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1.2. Метод эквивалентных гармоник для исследования высоких мод баллонной неустойчивости</w:t>
      </w:r>
    </w:p>
    <w:p w14:paraId="3725C217"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1.3. Локальный критерий устойчивости для круговых магнитных поверхностей</w:t>
      </w:r>
    </w:p>
    <w:p w14:paraId="3E93C43F"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1.4. Локальный критерий устойчивости для некруговых магнитных поверхностей</w:t>
      </w:r>
    </w:p>
    <w:p w14:paraId="45DC8133"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1.5. Анализ критерия устойчивости</w:t>
      </w:r>
    </w:p>
    <w:p w14:paraId="375552FA"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1.6. В ы в о д ы.</w:t>
      </w:r>
    </w:p>
    <w:p w14:paraId="5F5D054E"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ГЛАВА П. РАДИАЛЬНАЯ СТРУКТУРА ВЫСОКИХ МОД . БАЛЛОННОЙ НЕУСТОЙЧИВОСТИ</w:t>
      </w:r>
    </w:p>
    <w:p w14:paraId="0EA15BED"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§2.1. Постановка задачи</w:t>
      </w:r>
    </w:p>
    <w:p w14:paraId="5F505DBA"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2.2. Вариационная формулировка задачи о радиальной структуре</w:t>
      </w:r>
    </w:p>
    <w:p w14:paraId="29287F1D"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2.3. Радиальная структура беспороговой диссипативной неустойчивости баллонных мод</w:t>
      </w:r>
    </w:p>
    <w:p w14:paraId="11A14D83"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ГЛАВА Ш. ОБОБЩЕННЫЙ КРИТЕРИИ УСТОЙЧИВОСТИ ИДЕАЛЬНЫХ БАЛЛОННЫХ МОД В ТОКАМАКЕ</w:t>
      </w:r>
    </w:p>
    <w:p w14:paraId="74274320"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§3.1. Постановка задачи</w:t>
      </w:r>
    </w:p>
    <w:p w14:paraId="214706BB"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3.2. Метод получения критерия и его анализ.</w:t>
      </w:r>
    </w:p>
    <w:p w14:paraId="3CDA012F"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§3.3. Моделирование устойчивости плазмы при большом давлении.</w:t>
      </w:r>
    </w:p>
    <w:p w14:paraId="126C4C55"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3.4. В ы в о д ы.</w:t>
      </w:r>
    </w:p>
    <w:p w14:paraId="5FB90DB4"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ГЛАВА 1У. ЧИСЛЕННОЕ МОДЕЛИРОВАНИЕ ЭНЕРГОБАЛАНСА ДЛЯ ТОКАМАКА С КОМБИНИРОВАННЫМ АДИАБАТИЧЕСКИМ СЖАТИЕМ</w:t>
      </w:r>
    </w:p>
    <w:p w14:paraId="594F8E67"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§4.1. Физическая модель и исходные уравнения</w:t>
      </w:r>
    </w:p>
    <w:p w14:paraId="5C16E15B"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§4.2. Эволюция плазменного шнура на начальной стадии разряда до сжатия.</w:t>
      </w:r>
    </w:p>
    <w:p w14:paraId="74D03506"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§4.3. Модель дополнительного нагрева</w:t>
      </w:r>
    </w:p>
    <w:p w14:paraId="728F26A1"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4.4. Результаты моделирования энергобаланса плазмы в режимах с комбинированным сжатием</w:t>
      </w:r>
    </w:p>
    <w:p w14:paraId="78C9EDA3"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4.4.1. Влияние степени рециркуляции частиц на параметры плазмы в разряде</w:t>
      </w:r>
    </w:p>
    <w:p w14:paraId="75AE8FDB"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lastRenderedPageBreak/>
        <w:t>§ 4.4.2. Зависимость конечных параметров плазмы при сжатии от величины дополнительного нагрева.</w:t>
      </w:r>
    </w:p>
    <w:p w14:paraId="44D1B853"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4.4.3. Определение режима с оптимальной средней плотностью плазмы перед сжатием</w:t>
      </w:r>
    </w:p>
    <w:p w14:paraId="3C99140E"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4.4.4. Зависимость параметров разряда от величины начального тока перед сжатием</w:t>
      </w:r>
    </w:p>
    <w:p w14:paraId="57A33700" w14:textId="77777777" w:rsidR="002B125B" w:rsidRPr="002B125B" w:rsidRDefault="002B125B" w:rsidP="002B125B">
      <w:pPr>
        <w:rPr>
          <w:rFonts w:ascii="Helvetica" w:eastAsia="Symbol" w:hAnsi="Helvetica" w:cs="Helvetica"/>
          <w:b/>
          <w:bCs/>
          <w:color w:val="222222"/>
          <w:kern w:val="0"/>
          <w:sz w:val="21"/>
          <w:szCs w:val="21"/>
          <w:lang w:eastAsia="ru-RU"/>
        </w:rPr>
      </w:pPr>
      <w:r w:rsidRPr="002B125B">
        <w:rPr>
          <w:rFonts w:ascii="Helvetica" w:eastAsia="Symbol" w:hAnsi="Helvetica" w:cs="Helvetica"/>
          <w:b/>
          <w:bCs/>
          <w:color w:val="222222"/>
          <w:kern w:val="0"/>
          <w:sz w:val="21"/>
          <w:szCs w:val="21"/>
          <w:lang w:eastAsia="ru-RU"/>
        </w:rPr>
        <w:t>§ 4.5. Применение обобщенного критерия устойчивости для учета влияния баллонных мод на энергобаланс в токамаке с адиабатическим сжатием . П</w:t>
      </w:r>
    </w:p>
    <w:p w14:paraId="3869883D" w14:textId="38BB60FF" w:rsidR="00F11235" w:rsidRPr="002B125B" w:rsidRDefault="00F11235" w:rsidP="002B125B"/>
    <w:sectPr w:rsidR="00F11235" w:rsidRPr="002B12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A4440" w14:textId="77777777" w:rsidR="00DA02B5" w:rsidRDefault="00DA02B5">
      <w:pPr>
        <w:spacing w:after="0" w:line="240" w:lineRule="auto"/>
      </w:pPr>
      <w:r>
        <w:separator/>
      </w:r>
    </w:p>
  </w:endnote>
  <w:endnote w:type="continuationSeparator" w:id="0">
    <w:p w14:paraId="214B8239" w14:textId="77777777" w:rsidR="00DA02B5" w:rsidRDefault="00DA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08DFB" w14:textId="77777777" w:rsidR="00DA02B5" w:rsidRDefault="00DA02B5"/>
    <w:p w14:paraId="24D3DF3B" w14:textId="77777777" w:rsidR="00DA02B5" w:rsidRDefault="00DA02B5"/>
    <w:p w14:paraId="6F279673" w14:textId="77777777" w:rsidR="00DA02B5" w:rsidRDefault="00DA02B5"/>
    <w:p w14:paraId="5CC3A692" w14:textId="77777777" w:rsidR="00DA02B5" w:rsidRDefault="00DA02B5"/>
    <w:p w14:paraId="58DA255A" w14:textId="77777777" w:rsidR="00DA02B5" w:rsidRDefault="00DA02B5"/>
    <w:p w14:paraId="43D7C044" w14:textId="77777777" w:rsidR="00DA02B5" w:rsidRDefault="00DA02B5"/>
    <w:p w14:paraId="46F7D0FC" w14:textId="77777777" w:rsidR="00DA02B5" w:rsidRDefault="00DA02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4EA075" wp14:editId="106E73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63E4B" w14:textId="77777777" w:rsidR="00DA02B5" w:rsidRDefault="00DA02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EA07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163E4B" w14:textId="77777777" w:rsidR="00DA02B5" w:rsidRDefault="00DA02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193D0C" w14:textId="77777777" w:rsidR="00DA02B5" w:rsidRDefault="00DA02B5"/>
    <w:p w14:paraId="5F47C59B" w14:textId="77777777" w:rsidR="00DA02B5" w:rsidRDefault="00DA02B5"/>
    <w:p w14:paraId="5F74B9C0" w14:textId="77777777" w:rsidR="00DA02B5" w:rsidRDefault="00DA02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4F3560" wp14:editId="11BF8BB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0896C" w14:textId="77777777" w:rsidR="00DA02B5" w:rsidRDefault="00DA02B5"/>
                          <w:p w14:paraId="69A4B545" w14:textId="77777777" w:rsidR="00DA02B5" w:rsidRDefault="00DA02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4F35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00896C" w14:textId="77777777" w:rsidR="00DA02B5" w:rsidRDefault="00DA02B5"/>
                    <w:p w14:paraId="69A4B545" w14:textId="77777777" w:rsidR="00DA02B5" w:rsidRDefault="00DA02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06F0EA" w14:textId="77777777" w:rsidR="00DA02B5" w:rsidRDefault="00DA02B5"/>
    <w:p w14:paraId="515505A4" w14:textId="77777777" w:rsidR="00DA02B5" w:rsidRDefault="00DA02B5">
      <w:pPr>
        <w:rPr>
          <w:sz w:val="2"/>
          <w:szCs w:val="2"/>
        </w:rPr>
      </w:pPr>
    </w:p>
    <w:p w14:paraId="45C64D1A" w14:textId="77777777" w:rsidR="00DA02B5" w:rsidRDefault="00DA02B5"/>
    <w:p w14:paraId="6388C731" w14:textId="77777777" w:rsidR="00DA02B5" w:rsidRDefault="00DA02B5">
      <w:pPr>
        <w:spacing w:after="0" w:line="240" w:lineRule="auto"/>
      </w:pPr>
    </w:p>
  </w:footnote>
  <w:footnote w:type="continuationSeparator" w:id="0">
    <w:p w14:paraId="10FC75DB" w14:textId="77777777" w:rsidR="00DA02B5" w:rsidRDefault="00DA0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2B5"/>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169201</TotalTime>
  <Pages>2</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5374</cp:revision>
  <cp:lastPrinted>2009-02-06T05:36:00Z</cp:lastPrinted>
  <dcterms:created xsi:type="dcterms:W3CDTF">2024-01-07T13:43:00Z</dcterms:created>
  <dcterms:modified xsi:type="dcterms:W3CDTF">2025-09-25T18:04:00Z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