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47808" w14:textId="23FE4BDF" w:rsidR="00720266" w:rsidRDefault="001F7040" w:rsidP="001F704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Миралиев Исфандиёр Карахонович. Права человека в условиях формирования правового государства в Республике Таджикистан</w:t>
      </w:r>
      <w:bookmarkEnd w:id="0"/>
      <w:r>
        <w:rPr>
          <w:rFonts w:ascii="Verdana" w:hAnsi="Verdana"/>
          <w:color w:val="000000"/>
          <w:sz w:val="18"/>
          <w:szCs w:val="18"/>
          <w:shd w:val="clear" w:color="auto" w:fill="FFFFFF"/>
        </w:rPr>
        <w:t>: диссертация ... кандидата юридических наук: 12.00.01 / Миралиев Исфандиёр Карахонович;[Место защиты: Российско-Таджикский (славянский) университет - www.tnu.tj].- Душанбе, 2014.- 205 с.</w:t>
      </w:r>
    </w:p>
    <w:p w14:paraId="21A905AA" w14:textId="77777777" w:rsidR="001F7040" w:rsidRPr="001F7040" w:rsidRDefault="001F7040" w:rsidP="001F704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1F7040">
        <w:rPr>
          <w:rFonts w:ascii="Verdana" w:eastAsia="Times New Roman" w:hAnsi="Verdana" w:cs="Times New Roman"/>
          <w:b/>
          <w:bCs/>
          <w:color w:val="AC370B"/>
          <w:kern w:val="0"/>
          <w:sz w:val="23"/>
          <w:szCs w:val="23"/>
          <w:lang w:eastAsia="ru-RU"/>
        </w:rPr>
        <w:t>Содержание к диссертации</w:t>
      </w:r>
    </w:p>
    <w:p w14:paraId="6C4B1648" w14:textId="77777777" w:rsidR="001F7040" w:rsidRPr="001F7040" w:rsidRDefault="001F7040" w:rsidP="001F704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F7040">
        <w:rPr>
          <w:rFonts w:ascii="Verdana" w:eastAsia="Times New Roman" w:hAnsi="Verdana" w:cs="Times New Roman"/>
          <w:color w:val="000000"/>
          <w:kern w:val="0"/>
          <w:sz w:val="18"/>
          <w:szCs w:val="18"/>
          <w:lang w:eastAsia="ru-RU"/>
        </w:rPr>
        <w:t>Введение</w:t>
      </w:r>
    </w:p>
    <w:p w14:paraId="17A2CBF5" w14:textId="77777777" w:rsidR="001F7040" w:rsidRPr="001F7040" w:rsidRDefault="001F7040" w:rsidP="001F704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F7040">
        <w:rPr>
          <w:rFonts w:ascii="Verdana" w:eastAsia="Times New Roman" w:hAnsi="Verdana" w:cs="Times New Roman"/>
          <w:b/>
          <w:bCs/>
          <w:color w:val="000000"/>
          <w:kern w:val="0"/>
          <w:sz w:val="18"/>
          <w:szCs w:val="18"/>
          <w:lang w:eastAsia="ru-RU"/>
        </w:rPr>
        <w:t>Глава 1. Взаимосвязь правового государства и прав человека: идейные истоки и современные научные трактовки</w:t>
      </w:r>
    </w:p>
    <w:p w14:paraId="5B773CF6" w14:textId="77777777" w:rsidR="001F7040" w:rsidRPr="001F7040" w:rsidRDefault="001F7040" w:rsidP="001F704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F7040">
        <w:rPr>
          <w:rFonts w:ascii="Verdana" w:eastAsia="Times New Roman" w:hAnsi="Verdana" w:cs="Times New Roman"/>
          <w:color w:val="000000"/>
          <w:kern w:val="0"/>
          <w:sz w:val="18"/>
          <w:szCs w:val="18"/>
          <w:lang w:eastAsia="ru-RU"/>
        </w:rPr>
        <w:t>1.1 Генезис и развитие идей и теорий о взаимосвязи государства и прав человека 14-38</w:t>
      </w:r>
    </w:p>
    <w:p w14:paraId="086A83BC" w14:textId="77777777" w:rsidR="001F7040" w:rsidRPr="001F7040" w:rsidRDefault="001F7040" w:rsidP="001F704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F7040">
        <w:rPr>
          <w:rFonts w:ascii="Verdana" w:eastAsia="Times New Roman" w:hAnsi="Verdana" w:cs="Times New Roman"/>
          <w:color w:val="000000"/>
          <w:kern w:val="0"/>
          <w:sz w:val="18"/>
          <w:szCs w:val="18"/>
          <w:lang w:eastAsia="ru-RU"/>
        </w:rPr>
        <w:t>1.2 Современные трактовки взаимосвязи правового государства и прав человека 38-63</w:t>
      </w:r>
    </w:p>
    <w:p w14:paraId="794C7904" w14:textId="77777777" w:rsidR="001F7040" w:rsidRPr="001F7040" w:rsidRDefault="001F7040" w:rsidP="001F704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F7040">
        <w:rPr>
          <w:rFonts w:ascii="Verdana" w:eastAsia="Times New Roman" w:hAnsi="Verdana" w:cs="Times New Roman"/>
          <w:color w:val="000000"/>
          <w:kern w:val="0"/>
          <w:sz w:val="18"/>
          <w:szCs w:val="18"/>
          <w:lang w:eastAsia="ru-RU"/>
        </w:rPr>
        <w:t>1.3 Взаимосвязь правового государства и прав человека в рамках их доктринальных трактовок 64-88</w:t>
      </w:r>
    </w:p>
    <w:p w14:paraId="05CB97BA" w14:textId="77777777" w:rsidR="001F7040" w:rsidRPr="001F7040" w:rsidRDefault="001F7040" w:rsidP="001F704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F7040">
        <w:rPr>
          <w:rFonts w:ascii="Verdana" w:eastAsia="Times New Roman" w:hAnsi="Verdana" w:cs="Times New Roman"/>
          <w:b/>
          <w:bCs/>
          <w:color w:val="000000"/>
          <w:kern w:val="0"/>
          <w:sz w:val="18"/>
          <w:szCs w:val="18"/>
          <w:lang w:eastAsia="ru-RU"/>
        </w:rPr>
        <w:t>Глава 2. Права человека в условиях построения правового государства в Республике Таджикистан</w:t>
      </w:r>
    </w:p>
    <w:p w14:paraId="6E88650D" w14:textId="77777777" w:rsidR="001F7040" w:rsidRPr="001F7040" w:rsidRDefault="001F7040" w:rsidP="001F704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F7040">
        <w:rPr>
          <w:rFonts w:ascii="Verdana" w:eastAsia="Times New Roman" w:hAnsi="Verdana" w:cs="Times New Roman"/>
          <w:b/>
          <w:bCs/>
          <w:color w:val="000000"/>
          <w:kern w:val="0"/>
          <w:sz w:val="18"/>
          <w:szCs w:val="18"/>
          <w:lang w:eastAsia="ru-RU"/>
        </w:rPr>
        <w:t>2.1 Конституционная модель правового государства и прав человека в Республике Таджикистан 89-116</w:t>
      </w:r>
    </w:p>
    <w:p w14:paraId="0199A38E" w14:textId="77777777" w:rsidR="001F7040" w:rsidRPr="001F7040" w:rsidRDefault="001F7040" w:rsidP="001F704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F7040">
        <w:rPr>
          <w:rFonts w:ascii="Verdana" w:eastAsia="Times New Roman" w:hAnsi="Verdana" w:cs="Times New Roman"/>
          <w:color w:val="000000"/>
          <w:kern w:val="0"/>
          <w:sz w:val="18"/>
          <w:szCs w:val="18"/>
          <w:lang w:eastAsia="ru-RU"/>
        </w:rPr>
        <w:t>2.2 Правовой статус человека и гражданина .116-137</w:t>
      </w:r>
    </w:p>
    <w:p w14:paraId="7E242D90" w14:textId="77777777" w:rsidR="001F7040" w:rsidRPr="001F7040" w:rsidRDefault="001F7040" w:rsidP="001F704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F7040">
        <w:rPr>
          <w:rFonts w:ascii="Verdana" w:eastAsia="Times New Roman" w:hAnsi="Verdana" w:cs="Times New Roman"/>
          <w:color w:val="000000"/>
          <w:kern w:val="0"/>
          <w:sz w:val="18"/>
          <w:szCs w:val="18"/>
          <w:lang w:eastAsia="ru-RU"/>
        </w:rPr>
        <w:t>2.3 Социальное правовое государство и права человека 138-161</w:t>
      </w:r>
    </w:p>
    <w:p w14:paraId="4CF4E93F" w14:textId="77777777" w:rsidR="001F7040" w:rsidRPr="001F7040" w:rsidRDefault="001F7040" w:rsidP="001F704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F7040">
        <w:rPr>
          <w:rFonts w:ascii="Verdana" w:eastAsia="Times New Roman" w:hAnsi="Verdana" w:cs="Times New Roman"/>
          <w:color w:val="000000"/>
          <w:kern w:val="0"/>
          <w:sz w:val="18"/>
          <w:szCs w:val="18"/>
          <w:lang w:eastAsia="ru-RU"/>
        </w:rPr>
        <w:t>2.4 Правовая политика в сфере прав человека в Республике Таджикистан .161-181</w:t>
      </w:r>
    </w:p>
    <w:p w14:paraId="6AA4E589" w14:textId="77777777" w:rsidR="001F7040" w:rsidRPr="001F7040" w:rsidRDefault="001F7040" w:rsidP="001F704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F7040">
        <w:rPr>
          <w:rFonts w:ascii="Verdana" w:eastAsia="Times New Roman" w:hAnsi="Verdana" w:cs="Times New Roman"/>
          <w:color w:val="000000"/>
          <w:kern w:val="0"/>
          <w:sz w:val="18"/>
          <w:szCs w:val="18"/>
          <w:lang w:eastAsia="ru-RU"/>
        </w:rPr>
        <w:t>Заключение 182-186</w:t>
      </w:r>
    </w:p>
    <w:p w14:paraId="530695D4" w14:textId="77777777" w:rsidR="001F7040" w:rsidRPr="001F7040" w:rsidRDefault="001F7040" w:rsidP="001F704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F7040">
        <w:rPr>
          <w:rFonts w:ascii="Verdana" w:eastAsia="Times New Roman" w:hAnsi="Verdana" w:cs="Times New Roman"/>
          <w:color w:val="000000"/>
          <w:kern w:val="0"/>
          <w:sz w:val="18"/>
          <w:szCs w:val="18"/>
          <w:lang w:eastAsia="ru-RU"/>
        </w:rPr>
        <w:t>Литература .187-205</w:t>
      </w:r>
    </w:p>
    <w:p w14:paraId="4E09AA47" w14:textId="77777777" w:rsidR="001F7040" w:rsidRDefault="001F7040" w:rsidP="001F7040">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63D64673" w14:textId="77777777" w:rsidR="001F7040" w:rsidRDefault="001F7040" w:rsidP="001F7040">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темы.</w:t>
      </w:r>
      <w:r>
        <w:rPr>
          <w:rStyle w:val="WW8Num3z0"/>
          <w:rFonts w:ascii="Verdana" w:hAnsi="Verdana"/>
          <w:color w:val="000000"/>
          <w:sz w:val="18"/>
          <w:szCs w:val="18"/>
        </w:rPr>
        <w:t> </w:t>
      </w:r>
      <w:r>
        <w:rPr>
          <w:rFonts w:ascii="Verdana" w:hAnsi="Verdana"/>
          <w:color w:val="000000"/>
          <w:sz w:val="18"/>
          <w:szCs w:val="18"/>
        </w:rPr>
        <w:t>Современная модель взаимосвязи правового государства и прав человека, выстраиваемая и реализуемая в различных вариациях, не возникла на пустом месте. Она является продуктом деятельности многих поколений философов и мыслителей, научных изысканий, политической борьбы за права и свободы и опирается на предшествующий опыт человечества. Изначально права человека стали трактоваться во взаимосвязи с определенными моделями организации власти. Идейные истоки теории взаимосвязи государства (полиса) и прав человека восходят к эпохе античности. Исторический процесс формирования и признания прав человека, расширения их объема, гарантированности прав и свобод личности протекал в рамках государственно-организованного общества. По мере приобретения государством правовых начал становилось возможным официально-властное признание прав и свобод человека. Международными документами и национальными конституциями на современные государства возложена обязанность по соблюдению, защите и обеспечению прав человека. Глобальные вызовы и угрозы современности повышают роль государства в сфере защиты прав человека. Становление и развитие прав человека как проявление вечной проблемы взаимоотношения личности и власти, человека и государства неразрывно связано с развитием государственности в целом. Исходя из этого, исследование прав человека в контексте их связи с государством является актуальным.</w:t>
      </w:r>
    </w:p>
    <w:p w14:paraId="2E598FC2"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lastRenderedPageBreak/>
        <w:t>Республика Таджикистан по Конституции 1994 г. провозглашена правовым социальным государством. На конституционном уровне признана высшая ценность человека, его прав и свобод. В рамках Конституции выстроена модель взаимоотношения правового государства и прав человека, которая включает необходимые, апробированные человеческим опытом параметры правовой государственности (неотъемлемые права человека, верховенство правового закона, разделение властей, конституционная законность, права человека как исходный критерий правового качества законов и правового характера деятельности государственных органов, взаимная ответственность государства и личности). Начался отход от идеологических парадигм взаимоотношения государства и личности. Концепция октроированных прав и свобод граждан сменилась концепцией прирожденных и неотчуждаемых прав и свобод человека. Существенное изменение претерпел конституционный статус личности на основе различения прав человека и прав граждана. В целом на конституционном уровне определены правовые основы взаимоотношения государства и прав человека в условиях построения правового государства в Таджикистане.</w:t>
      </w:r>
    </w:p>
    <w:p w14:paraId="3CECC11F"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Тем не менее предстоит долгий и нелегкий путь для реализации конституционно-правовой модели взаимоотношения правового государства и прав человека. На реализацию указанной модели оказывают влияние следующие условия и факторы: конкретно-историческая обусловленность доктрины правового государства и прав человека; многообразие научных трактовок правового государства и прав человека в рамках различных концепций (естественно-правовая, неопозитивистская, либертарно-юридическая, интегративная, антропологическая и др.); разнообразие моделей взаимоотношения правового государства и прав человека; динамизм общества, государства, прав и свобод человека; универсальность прав человека и проявление культурных, религиозных, политических, экономических различий; внешние факторы (глобальные вызовы современности, международный терроризм, военные конфликты, глобализация и др.). Указанные факторы и условия, влияющие на выбор и последующую реализацию желаемой модели правового государства и прав человека, требуют научного исследования, что служит очередным доказательством актуальности темы диссертационного исследования.</w:t>
      </w:r>
    </w:p>
    <w:p w14:paraId="61B98C37" w14:textId="77777777" w:rsidR="001F7040" w:rsidRDefault="001F7040" w:rsidP="001F7040">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разработанности темы</w:t>
      </w:r>
      <w:r>
        <w:rPr>
          <w:rFonts w:ascii="Verdana" w:hAnsi="Verdana"/>
          <w:color w:val="000000"/>
          <w:sz w:val="18"/>
          <w:szCs w:val="18"/>
        </w:rPr>
        <w:t>. Концептуальные аспекты и проблемы правового государства и прав человека издавна привлекали внимание целого ряда поколений философов и мыслителей (Солон, Демокрит, Аристотель, Д. Локк, Ш. Монтескье, Т. Джефферсон, И. Кант, Г. Гегель, П.И. Новгородцев, Б.А. Кистяковский, Б.Н. Чичерин, Н.М. Коркунов и др.). Вопросы государства и прав личности находились в центре внимания различных поколений советских юристов (Н.В. Крыленко, Д.И. Курский, А.А. Малицкий, Е.Б. Пашуканис, М.А. Рейснер, П.И. Стучка, Г.А. Белов, И.Т. Голяков, В.Е. Гулиев, А.С. Пиголкин, И.С. Самощенко, С.Н. Братусь, С.Ф. Кечекьян, И.Е. Фарбер, В.С. Комаров, Н.В. Витрук и др.).</w:t>
      </w:r>
    </w:p>
    <w:p w14:paraId="2644FE89"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Большой вклад в научную разработку проблем правового государства и прав человека внесли современные ученые-юристы – С.С. Алексеев М.В. Баглай, , В.Е. Гулиев, В.Д. Зорькин, В.Н. Кудрявцев, Д.А. Керимов, Б.М. Лазарев, В.В. Лапаева, Р.З. Лившиц, Е.А. Лукашева, , М.Н. Марченко, Г.В. Мальцев, Л.С. Мамут, Н.И. Матузов, А.В. Малько, Н.С. Малеин, Л.А. Морозова, В.С. Нерсесянц, В.Д. Перевалов, М.И. Пискотин, И.Л. Петрухин, О.Ю. Рыбаков, Б.Н. Топорнин, Ю.А. Тихомиров, Р.О. Халфина, В.А. Четвернин, и многие другие.</w:t>
      </w:r>
    </w:p>
    <w:p w14:paraId="3FE59E78"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Проблемам правового государства и прав человека посвятили свои труды ученые-юристы Таджикистана – Г.С. Азизкулова, И.Б. Буриев, А.М. Диноршоев, , А.Х. Маликова, Р.Ш. Сативалдыев, Б.А. Сафаров, Д.С. Сафаров, Ф.Т. Тахиров, А.Г. Халиков и др.</w:t>
      </w:r>
    </w:p>
    <w:p w14:paraId="66FD2D1F"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Несмотря на обилие научной литературы, проблема взаимоотношения правового государства и прав человека как юридически структурированной модели с учетом многообразия их трактовок и реализации в условиях Таджикистана не стала предметом специального комплексного научного анализа в юридической науке республики.</w:t>
      </w:r>
    </w:p>
    <w:p w14:paraId="19B8DBB3" w14:textId="77777777" w:rsidR="001F7040" w:rsidRDefault="001F7040" w:rsidP="001F7040">
      <w:pPr>
        <w:pStyle w:val="WW8Num1z2"/>
        <w:shd w:val="clear" w:color="auto" w:fill="FFFFFF"/>
        <w:rPr>
          <w:rFonts w:ascii="Verdana" w:hAnsi="Verdana"/>
          <w:color w:val="000000"/>
          <w:sz w:val="18"/>
          <w:szCs w:val="18"/>
        </w:rPr>
      </w:pPr>
      <w:r>
        <w:rPr>
          <w:rStyle w:val="WW8Num2z0"/>
          <w:rFonts w:ascii="Verdana" w:hAnsi="Verdana"/>
          <w:color w:val="000000"/>
          <w:sz w:val="18"/>
          <w:szCs w:val="18"/>
        </w:rPr>
        <w:lastRenderedPageBreak/>
        <w:t>Объектом исследования</w:t>
      </w:r>
      <w:r>
        <w:rPr>
          <w:rStyle w:val="WW8Num3z0"/>
          <w:rFonts w:ascii="Verdana" w:hAnsi="Verdana"/>
          <w:color w:val="000000"/>
          <w:sz w:val="18"/>
          <w:szCs w:val="18"/>
        </w:rPr>
        <w:t> </w:t>
      </w:r>
      <w:r>
        <w:rPr>
          <w:rFonts w:ascii="Verdana" w:hAnsi="Verdana"/>
          <w:color w:val="000000"/>
          <w:sz w:val="18"/>
          <w:szCs w:val="18"/>
        </w:rPr>
        <w:t>являются общественные отношения и социальная практика, складывающиеся в процессе выстраивания и реализации модели взаимоотношения правового государства и прав человека.</w:t>
      </w:r>
    </w:p>
    <w:p w14:paraId="63D128E8" w14:textId="77777777" w:rsidR="001F7040" w:rsidRDefault="001F7040" w:rsidP="001F7040">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Предметом исследования</w:t>
      </w:r>
      <w:r>
        <w:rPr>
          <w:rStyle w:val="WW8Num3z0"/>
          <w:rFonts w:ascii="Verdana" w:hAnsi="Verdana"/>
          <w:color w:val="000000"/>
          <w:sz w:val="18"/>
          <w:szCs w:val="18"/>
        </w:rPr>
        <w:t> </w:t>
      </w:r>
      <w:r>
        <w:rPr>
          <w:rFonts w:ascii="Verdana" w:hAnsi="Verdana"/>
          <w:color w:val="000000"/>
          <w:sz w:val="18"/>
          <w:szCs w:val="18"/>
        </w:rPr>
        <w:t>являются идеи, понятия, концепции, теории правового государства и прав человека, практика их воплощения на уровне научной доктрины, законодательства, социальной и юридической практики.</w:t>
      </w:r>
    </w:p>
    <w:p w14:paraId="6A1B460A" w14:textId="77777777" w:rsidR="001F7040" w:rsidRDefault="001F7040" w:rsidP="001F7040">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Цель и задачи диссертации</w:t>
      </w:r>
      <w:r>
        <w:rPr>
          <w:rFonts w:ascii="Verdana" w:hAnsi="Verdana"/>
          <w:color w:val="000000"/>
          <w:sz w:val="18"/>
          <w:szCs w:val="18"/>
        </w:rPr>
        <w:t>. Целью диссертации является историко-правовой и общетеоретический анализ формирования и развития научного знания о взаимоотношении правового государства и прав человека и его преломления в условиях Республики Таджикистан в рамках адекватной условиям страны модели.</w:t>
      </w:r>
    </w:p>
    <w:p w14:paraId="335ACDD8"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Исходя из указанной цели в диссертации поставлены следующие</w:t>
      </w:r>
      <w:r>
        <w:rPr>
          <w:rStyle w:val="WW8Num3z0"/>
          <w:rFonts w:ascii="Verdana" w:hAnsi="Verdana"/>
          <w:color w:val="000000"/>
          <w:sz w:val="18"/>
          <w:szCs w:val="18"/>
        </w:rPr>
        <w:t> </w:t>
      </w:r>
      <w:r>
        <w:rPr>
          <w:rStyle w:val="WW8Num2z0"/>
          <w:rFonts w:ascii="Verdana" w:hAnsi="Verdana"/>
          <w:color w:val="000000"/>
          <w:sz w:val="18"/>
          <w:szCs w:val="18"/>
        </w:rPr>
        <w:t>задачи</w:t>
      </w:r>
      <w:r>
        <w:rPr>
          <w:rFonts w:ascii="Verdana" w:hAnsi="Verdana"/>
          <w:color w:val="000000"/>
          <w:sz w:val="18"/>
          <w:szCs w:val="18"/>
        </w:rPr>
        <w:t>:</w:t>
      </w:r>
    </w:p>
    <w:p w14:paraId="3D9793A3" w14:textId="77777777" w:rsidR="001F7040" w:rsidRDefault="001F7040" w:rsidP="001F7040">
      <w:pPr>
        <w:pStyle w:val="WW8Num1z2"/>
        <w:shd w:val="clear" w:color="auto" w:fill="FFFFFF"/>
        <w:rPr>
          <w:rFonts w:ascii="Verdana" w:hAnsi="Verdana"/>
          <w:color w:val="000000"/>
          <w:sz w:val="18"/>
          <w:szCs w:val="18"/>
        </w:rPr>
      </w:pPr>
      <w:r>
        <w:rPr>
          <w:rStyle w:val="WW8Num2z0"/>
          <w:rFonts w:ascii="Verdana" w:hAnsi="Verdana"/>
          <w:color w:val="000000"/>
          <w:sz w:val="18"/>
          <w:szCs w:val="18"/>
        </w:rPr>
        <w:t>-</w:t>
      </w:r>
      <w:r>
        <w:rPr>
          <w:rStyle w:val="WW8Num3z0"/>
          <w:rFonts w:ascii="Verdana" w:hAnsi="Verdana"/>
          <w:color w:val="000000"/>
          <w:sz w:val="18"/>
          <w:szCs w:val="18"/>
        </w:rPr>
        <w:t> </w:t>
      </w:r>
      <w:r>
        <w:rPr>
          <w:rFonts w:ascii="Verdana" w:hAnsi="Verdana"/>
          <w:color w:val="000000"/>
          <w:sz w:val="18"/>
          <w:szCs w:val="18"/>
        </w:rPr>
        <w:t>исследование формирования и последующего развития идей, представлений, концепций о взаимосвязи государства и личности, власти и прав человека в истории политической и правовой мысли;</w:t>
      </w:r>
    </w:p>
    <w:p w14:paraId="7B07A895"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 выявление преемственности и новизны в развитии государства и прав человека, определение конкретно-исторической обусловленности прав человека, их изменчивости и динамизма, связанности с правовыми началами государства;</w:t>
      </w:r>
    </w:p>
    <w:p w14:paraId="6FDB4A32"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 анализ взаимосвязи правового государства и прав человека в рамках современных научных исследований;</w:t>
      </w:r>
    </w:p>
    <w:p w14:paraId="4ABA59EC"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 исследование взаимоотношения правового государства и прав человека в рамках многообразия их доктринальных трактовок, различных методологических подходов;</w:t>
      </w:r>
    </w:p>
    <w:p w14:paraId="6A189304"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 выявление факторов, способствующих многообразию научных трактовок правового государства и прав человека;</w:t>
      </w:r>
    </w:p>
    <w:p w14:paraId="4BCCE9F4"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 теоретический и практический анализ конституционно-правовой модели правового государства и прав человека в Республике Таджикистан, определение ее параметров и структурных компонентов;</w:t>
      </w:r>
    </w:p>
    <w:p w14:paraId="0F3805E4"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 исследование трансформации правового статуса личности в условиях различения прав человека и прав гражданина;</w:t>
      </w:r>
    </w:p>
    <w:p w14:paraId="7346C3E8"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 исследование взаимосвязи социального правового государства и прав человека, в частности, роли государства в реализации социально-экономических и культурных прав человека;</w:t>
      </w:r>
    </w:p>
    <w:p w14:paraId="7CD69171"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 научный анализ выстраивания и реализации правовой политики в сфере прав человека в Республике Таджикистан.</w:t>
      </w:r>
    </w:p>
    <w:p w14:paraId="4E96871F" w14:textId="77777777" w:rsidR="001F7040" w:rsidRDefault="001F7040" w:rsidP="001F7040">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Научно-методологическая и нормативная основы диссертации</w:t>
      </w:r>
      <w:r>
        <w:rPr>
          <w:rFonts w:ascii="Verdana" w:hAnsi="Verdana"/>
          <w:color w:val="000000"/>
          <w:sz w:val="18"/>
          <w:szCs w:val="18"/>
        </w:rPr>
        <w:t>. В диссертации с учетом цели, предмета и объекта исследования нашли применение общефилософские методы научного анализа - диалектический, историко-логический, функциональный, системно-структурный, а также общенаучные принципы научного познания – всесторонность и объективность исследования. В диссертации применены также специальные юридические приемы научного анализа – формально-юридический, сравнительно-правовой, историко-правовой, метод юридического моделирования.</w:t>
      </w:r>
    </w:p>
    <w:p w14:paraId="7FCA9FD4"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 xml:space="preserve">Научную базу диссертации составили общепризнанные выводы и положения российской и отечественной юридической науки, научные труды ученых-юристов, достигнутые ими научные </w:t>
      </w:r>
      <w:r>
        <w:rPr>
          <w:rFonts w:ascii="Verdana" w:hAnsi="Verdana"/>
          <w:color w:val="000000"/>
          <w:sz w:val="18"/>
          <w:szCs w:val="18"/>
        </w:rPr>
        <w:lastRenderedPageBreak/>
        <w:t>результаты, касающиеся темы диссертации. Теоретическую основу диссертации составили взгляды, идеи, концепции мыслителей и философов, сформулированные на различных этапах исторического развития. Использованы также относящиеся к работе социологические данные, учтены явления, социальные процессы и тенденции общественного развития.</w:t>
      </w:r>
    </w:p>
    <w:p w14:paraId="1B62739D"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При написании диссертации использована необходимая для целей исследования нормативно-правовая база – Конституция и законы Республики Таджикистан, указы Президента и постановления Правительства республики. В работе нашли широкое применение международные правовые акты в сфере прав человека. В целях исследования правовой политики в сфере прав человека использованы программные документы, принятые в Республике Таджикистан.</w:t>
      </w:r>
    </w:p>
    <w:p w14:paraId="2AFA2195" w14:textId="77777777" w:rsidR="001F7040" w:rsidRDefault="001F7040" w:rsidP="001F7040">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 диссертационного исследования</w:t>
      </w:r>
      <w:r>
        <w:rPr>
          <w:rFonts w:ascii="Verdana" w:hAnsi="Verdana"/>
          <w:color w:val="000000"/>
          <w:sz w:val="18"/>
          <w:szCs w:val="18"/>
        </w:rPr>
        <w:t>. В диссертации впервые в юридической науке Республики Таджикистан осуществляется специальный научный анализ взаимоотношения правового государства и прав человека на основе историко-правового и политико-правового анализа формирования и развития теоретических и научных знаний в сфере взаимосвязи государства и человека, его прав и свобод. Анализируется процесс выстраивания конституционно-правовой модели взаимоотношения правового государства и прав человека и степень ее практического внедрения в рамках многообразия научных подходов. Обосновывается модель взаимоотношения социального правового государства и социально-экономических, культурных прав человека. Предпринято одно из первых в юриспруденции Таджикистана исследование правовой политики в сфере прав человека.</w:t>
      </w:r>
    </w:p>
    <w:p w14:paraId="58E718E9" w14:textId="77777777" w:rsidR="001F7040" w:rsidRDefault="001F7040" w:rsidP="001F7040">
      <w:pPr>
        <w:pStyle w:val="WW8Num1z2"/>
        <w:shd w:val="clear" w:color="auto" w:fill="FFFFFF"/>
        <w:rPr>
          <w:rFonts w:ascii="Verdana" w:hAnsi="Verdana"/>
          <w:color w:val="000000"/>
          <w:sz w:val="18"/>
          <w:szCs w:val="18"/>
        </w:rPr>
      </w:pPr>
      <w:r>
        <w:rPr>
          <w:rStyle w:val="WW8Num2z0"/>
          <w:rFonts w:ascii="Verdana" w:hAnsi="Verdana"/>
          <w:color w:val="000000"/>
          <w:sz w:val="18"/>
          <w:szCs w:val="18"/>
        </w:rPr>
        <w:t>На защиту выносятся следующие положения:</w:t>
      </w:r>
    </w:p>
    <w:p w14:paraId="34B37CEF"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1. Успешное построение правового государства в Республике Таджикистан зависит от реализации соответствующей концепции прав человека, ее адекватности реальным условиям жизнедеятельности общества, соответствия существующему уровню общественного сознания, степени ее восприятия населением. У каждого народа есть свой собственный путь к правовому государству. Каждый народ по-своему воспринимает также ценности в области прав человека. Достигнутый уровень социально-экономического, политического и духовного развития общества, психология, сознание, менталитет, национальные традиции служат определяющими факторами реализации идей и ценностей правовой государственности, а также практического воплощения прав человека.</w:t>
      </w:r>
    </w:p>
    <w:p w14:paraId="64CCB1F1"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2. Современные трактовки взаимосвязи правового государства и прав человека в Таджикистане характеризуются следующими моментами: а) проводятся на фоне построения правового государства, гражданского общества и апробирования различных концепций прав человека; б) подвержены динамизму, корректируются и приспосабливаются к условиям страны под воздействием конкретно-исторических условий, национальных традиций, достигнутого уровня и новых потребностей общественного развития; в) плюрализм теоретических подходов к государству, праву, правам человека обуславливает многообразие подходов к проблеме взаимосвязи правового государства и прав человека; г) разрабатываются с учетом динамизма условий жизнедеятельности общества, возвышения роли современного государства в решении острых социальных и глобальных проблем, в обеспечении социальной консолидации общества.</w:t>
      </w:r>
    </w:p>
    <w:p w14:paraId="1BD35194"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3. Взаимосвязь правового государства и прав человека представляет собой модель равных и партнерских взаимоотношений государства как правовой формы организации власти и свободной личности посредством их взаимных прав и обязанностей, взаимной ответственности на основе господства права и правового закона и в рамках гражданского общества.</w:t>
      </w:r>
    </w:p>
    <w:p w14:paraId="14ED6B3E"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 xml:space="preserve">4. Взаимосвязь правового государства и прав человека проявляется в следующих формах: а) официально-властное признание, соблюдение и защита неотъемлемых прав и свобод человека на </w:t>
      </w:r>
      <w:r>
        <w:rPr>
          <w:rFonts w:ascii="Verdana" w:hAnsi="Verdana"/>
          <w:color w:val="000000"/>
          <w:sz w:val="18"/>
          <w:szCs w:val="18"/>
        </w:rPr>
        <w:lastRenderedPageBreak/>
        <w:t>уровне международного и национального права; б) создание государством необходимых условий и гарантий для реализации личностью ее прав и свобод; в) становление гражданского общества, перекладывание на него ряда управленческих функций, активное участие граждан в организации и функционировании государственной власти как непосредственно, так и через их общественно-политические объединения; г) разумное сочетание прав, свобод и обязанностей человека и гражданина, чувство ответственности личности перед собственным государством и мировым сообществом, высокая гражданская позиция граждан; д) взаимная ответственность государства и личности как условие разумного баланса власти и свободы; е) организация государственной власти в строго правовых рамках – на основе верховенства права и правового закона, разделения властей, конституционного контроля и иных контрольных механизмов.</w:t>
      </w:r>
    </w:p>
    <w:p w14:paraId="7337E025"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5. Непременным условием успешной реализации прав человека является их осознанность людьми. Деформация общественного сознания, проникновение в его структуру нездоровых элементов, правовой нигилизм, укоренение патерналистских взглядов и иждивенческой психологии служат преградой для разумного восприятия прав человека, осознания человеком своего искомого социального и правового положения в обществе, своих неотчуждаемых и неотъемлемых прав и свобод. Недопустимо игнорирование культурно-цивилизационного различия, поскольку права человека отражают духовный мир человека, воспринимаются и оцениваются им в рамках его мировоззрения, морали, нравственных убеждений, религиозного, нравственного сознания.</w:t>
      </w:r>
    </w:p>
    <w:p w14:paraId="419ED53E"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6. На выбор определенной концепции прав человека влияют следующие факторы: а) установленный в стране политический режим, цели, задачи и функции государства, степень проявления демократических процессов; б) культурно-цивилизационные устои общества, в частности, религия, мораль, нравственность; в) связь прав человека с религией, моралью, нравственностью, сложившимися стереотипами, традициями, сознанием, психологией, менталитетом населения обуславливает многообразие восприятия, осознания и понимания прав и свобод человека; г) динамика прав человека, их изменчивость, способность адаптироваться к условиям жизнедеятельности общества; д) степень завершенности формирования гражданского общества, его структура, степень взаимодействия с государством.</w:t>
      </w:r>
    </w:p>
    <w:p w14:paraId="05677149"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7. Юридическая (конституционно оформленная) конструкция (модель) «суверенного, демократического, правового, светского и унитарного государства» отражает специфику таджикистанской модели правового государства и прав человека. Своеобразие данной конструкции (модели) проявляется в следующем: а) основывается на востребованной глобальными вызовами и угрозами идее защиты суверенитета государства и его национальных интересов; б) предполагает развитие демократических институтов, политическую активность граждан и иных структур гражданского общества; в) осуществляется с учетом исторических условий, геополитического положения страны, религиозного, нравственного, политического сознания и иных социокультурных доминант; г) требует выстраивания особой конфессиональной модели взаимоотношения государства и личности, гарантирующей свободу вероисповедания, создание атмосферы неприятия радикальных религиозных течений, конструктивное участие религиозных организаций в общественной жизни; д) отражает специфику форм национальной государственности; е) реализовывается в конкретно-исторических условиях страны, с учетом уровня ее социально-экономического, политического и духовного развития, национальных традиций, психологии, сознания, менталитета местного населения, уровня правосознания и правовой культуры, сохранившихся компонентов традиционного общества, национальной идентичности.</w:t>
      </w:r>
    </w:p>
    <w:p w14:paraId="6C71B51D"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 xml:space="preserve">8. Правовой статус человека и гражданина в условиях построения правового государства характеризуется следующими чертами и проявлениями: а) взаимосвязь прав, свобод и обязанностей человека и гражданина как условие взаимной ответственности государства и личности, повышения чувства ответственности и гражданского долга; б) разграничение прав человека и прав гражданина, естественных и позитивных прав; в) изменчивость под воздействием проводимых в республике </w:t>
      </w:r>
      <w:r>
        <w:rPr>
          <w:rFonts w:ascii="Verdana" w:hAnsi="Verdana"/>
          <w:color w:val="000000"/>
          <w:sz w:val="18"/>
          <w:szCs w:val="18"/>
        </w:rPr>
        <w:lastRenderedPageBreak/>
        <w:t>экономических, социальных, политических реформ; г) подверженность деформации под влиянием правового нигилизма либо романтизма, деформации правосознания, распространения коррупции; д) наличие тенденции к неустойчивости под влиянием социальных катаклизмов, неурядиц, распространения политического и религиозного радикализма, углубления имущественной поляризации населения, влияния политической нестабильности в регионе.</w:t>
      </w:r>
    </w:p>
    <w:p w14:paraId="613E1132"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9. Переход от правового государства к государству социальному связан с эволюцией прав человека (от гражданских и политических прав к социальным, экономическим и культурным правам), активизацией социально-экономической деятельности государства, объективными условиями повышения роли современного государства в решении глобальных проблем человечества. Конструкция «правовое социальное государство» объясняет сущностную характеристику государства в качестве как правового, так и социального. Правовое социальное государство обязано признавать, соблюдать и обеспечивать весь комплекс гражданских, политических, социальных, экономических и культурных прав человека. На специфику модели правового социального государства в условиях Таджикистана оказывают влияние уровень социально-экономического развития общества, природные ресурсы, энергетический потенциал республики, состояние аграрного сектора, уровень развития свободной экономической деятельности и предпринимательства, образовательная политика, качество медицинских услуг и т.д.</w:t>
      </w:r>
    </w:p>
    <w:p w14:paraId="25268827"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10. Правовая политика в сфере прав человека – это деятельность государственных и общественно-политических субъектов в сфере признания, соблюдения и защиты прав и свобод человека и гражданина, осуществляемая на основе комплекса правовых идей, ценностей, программ и юридических средств. Принципами правовой политики в сфере прав человека являются: научная обоснованность; програмность; стратегическая направленность; высшая социальная ценность человека, его прав и свобод; защита прав и свобод человека и гражданина; взаимосвязь прав, свобод и обязанностей личности; взаимная ответственность государства и личности.</w:t>
      </w:r>
    </w:p>
    <w:p w14:paraId="5242039A" w14:textId="77777777" w:rsidR="001F7040" w:rsidRDefault="001F7040" w:rsidP="001F7040">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Теоретическое и практическое значение диссертации</w:t>
      </w:r>
      <w:r>
        <w:rPr>
          <w:rFonts w:ascii="Verdana" w:hAnsi="Verdana"/>
          <w:color w:val="000000"/>
          <w:sz w:val="18"/>
          <w:szCs w:val="18"/>
        </w:rPr>
        <w:t>. Результаты проведенного исследования имеют теоретическое значение для углубления понимания взаимоотношения правового государства и прав человека, дальнейших научных исследований правового государства, прав и свобод человека и гражданина в теории государства и права, конституционном праве и иных смежных научных дисциплинах. Выводы и положения диссертации могут использоваться при выстраивании и реализации модели взаимоотношения правового государства и прав человека с учетом конкретно-исторических условий и социально-культурных доминант, при реализации правовой политики в сфере прав человека государством и иными общественно-политическими субъектами (политические партии, общественные объединения, отдельные граждане и др.). Результаты диссертационного исследования могут применяться в учебном процессе, при чтении учебных курсов «Теория государства и права», «Права человека», «История прав человека», «История политических и правовых учений», «Конституционное право» и др., а также при выполнении дипломных и магистерских проектов.</w:t>
      </w:r>
    </w:p>
    <w:p w14:paraId="49911711" w14:textId="77777777" w:rsidR="001F7040" w:rsidRDefault="001F7040" w:rsidP="001F7040">
      <w:pPr>
        <w:pStyle w:val="WW8Num1z2"/>
        <w:shd w:val="clear" w:color="auto" w:fill="FFFFFF"/>
        <w:rPr>
          <w:rFonts w:ascii="Verdana" w:hAnsi="Verdana"/>
          <w:color w:val="000000"/>
          <w:sz w:val="18"/>
          <w:szCs w:val="18"/>
        </w:rPr>
      </w:pPr>
      <w:r>
        <w:rPr>
          <w:rStyle w:val="WW8Num2z0"/>
          <w:rFonts w:ascii="Verdana" w:hAnsi="Verdana"/>
          <w:color w:val="000000"/>
          <w:sz w:val="18"/>
          <w:szCs w:val="18"/>
        </w:rPr>
        <w:t>Апробация результатов диссертационного исследования.</w:t>
      </w:r>
      <w:r>
        <w:rPr>
          <w:rStyle w:val="WW8Num3z0"/>
          <w:rFonts w:ascii="Verdana" w:hAnsi="Verdana"/>
          <w:color w:val="000000"/>
          <w:sz w:val="18"/>
          <w:szCs w:val="18"/>
        </w:rPr>
        <w:t> </w:t>
      </w:r>
      <w:r>
        <w:rPr>
          <w:rFonts w:ascii="Verdana" w:hAnsi="Verdana"/>
          <w:color w:val="000000"/>
          <w:sz w:val="18"/>
          <w:szCs w:val="18"/>
        </w:rPr>
        <w:t xml:space="preserve">Диссертация выполнена на кафедре теории и истории государства и права юридического факультета Таджикского национального университета и неоднократно обсуждалась на ее заседаниях. Материалы диссертации докладывались на различных республиканских и международных конференциях: «Международная научно–теоретическая конфренция, посвященная 80-летию одного из основополжников кафедры педагогики и психологии ТНУ академика Д.И. Фельдштейна” (г. Душанбе, 27 октября 2010 г.); Международная научная конфренция на тему: «Реализации прав человека в Республике Таджикистан» (Финляндия, город Турку, Институт Турку Або, 1 - 21 июня 2012 г.); Научно-практическая конференция, посвященная 20-летию создания института президентства в Таджикистане (г. Душанбе, 25 ноября 2010 г.); Научно-практическая конференция, посвященная 62-й годовщине принятия Всеобщей декларации прав человека (г. Душанбе, 10 декабря 2010 г.); </w:t>
      </w:r>
      <w:r>
        <w:rPr>
          <w:rFonts w:ascii="Verdana" w:hAnsi="Verdana"/>
          <w:color w:val="000000"/>
          <w:sz w:val="18"/>
          <w:szCs w:val="18"/>
        </w:rPr>
        <w:lastRenderedPageBreak/>
        <w:t>Научно-практическая конференция, посвященная 65-й годовщине принятия Всеобщей декларации прав человека на тему: «Права человека как международное достижение» (г. Душанбе, 10 декабря 2013 г.). По теме диссертации опубликованы 6 научных статей, из них 4 научные статьи - в журналах, рецензируемых ВАК Министерства образования и науки Российской Федерации.</w:t>
      </w:r>
    </w:p>
    <w:p w14:paraId="5E2EC522" w14:textId="77777777" w:rsidR="001F7040" w:rsidRDefault="001F7040" w:rsidP="001F7040">
      <w:pPr>
        <w:pStyle w:val="WW8Num1z2"/>
        <w:shd w:val="clear" w:color="auto" w:fill="FFFFFF"/>
        <w:rPr>
          <w:rFonts w:ascii="Verdana" w:hAnsi="Verdana"/>
          <w:color w:val="000000"/>
          <w:sz w:val="18"/>
          <w:szCs w:val="18"/>
        </w:rPr>
      </w:pPr>
      <w:r>
        <w:rPr>
          <w:rStyle w:val="WW8Num2z0"/>
          <w:rFonts w:ascii="Verdana" w:hAnsi="Verdana"/>
          <w:color w:val="000000"/>
          <w:sz w:val="18"/>
          <w:szCs w:val="18"/>
        </w:rPr>
        <w:t>Структура диссертации</w:t>
      </w:r>
      <w:r>
        <w:rPr>
          <w:rFonts w:ascii="Verdana" w:hAnsi="Verdana"/>
          <w:color w:val="000000"/>
          <w:sz w:val="18"/>
          <w:szCs w:val="18"/>
        </w:rPr>
        <w:t>. Диссертация состоит из введения, двух глав, семи параграфов, заключения и библиографического списка.</w:t>
      </w:r>
    </w:p>
    <w:p w14:paraId="434DA103" w14:textId="77777777" w:rsidR="001F7040" w:rsidRDefault="001F7040" w:rsidP="001F704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Современные трактовки взаимосвязи правового государства и прав человека</w:t>
      </w:r>
    </w:p>
    <w:p w14:paraId="1426CD01"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Современные трактовки взаимосвязи правового государства и прав человека характеризуются тем, что они, во-первых, происходят в постсоциалистических странах на фоне формирования устоев и институтов правового государства и построения гражданского общества.</w:t>
      </w:r>
    </w:p>
    <w:p w14:paraId="2F935BD5"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 xml:space="preserve">Во-вторых, современные трактовки указанной проблемы, которая волновала предыдущие поколения мыслителей, философов, исследователей на различных исторических этапах, опираются на достигнутые результаты, сформулированные идеи, положения, концепции и теории. В то же время новые условия жизнедеятельности общества, конкретно-исторические условия, национальные традиции, достигнутый уровень развития общества, новые потребности общественного развития, проблемы регионального и международного значения, глобальные вызовы современности требуют корректировки достигнутых результатов, приспособления теории правового государства к конкретным условиям отдельных стран. В-третьих, на научную разработку проблемы взаимоотношения правового государства и прав человека влияют современные трактовки государства, типы правопонимания, концепции прав человека, многообразие дефиниций самого правового государства. Плюрализм теоретических подходов к государству, праву, правам человека, характерный современному уровню научных исследований, обуславливает многообразие подходов к проблеме взаимосвязи правового государства и прав человека. В-четвертых, практическая реализация определенных моделей правового государства и соответствующих им концепций прав человека также влияет на характер разрешения указанной проблемы. Проблема взаимоотношения правового государства и прав человека требует своего разрешения в рамках доктринального и практического подходов с учетом соотношения теоретической, конституционной и реализуемой моделей правового государства. В начале 1990-х гг. в постсоветской юриспруденции был начат пересмотр предшествующей концепции взаимоотношения государства и личности. Начался постепенный отход от идеологической парадигмы советской теории государства и права, в частности, взаимоотношений государства и личности. Советская концепция октроированных прав и свобод граждан сменяется концепцией естественных (прирожденных, неотчуждаемых) прав и свобод человека. При исследовании проблем понимания государства и права во главу угла был поставлен человек с его правами и свободами. «Еще в недалеком прошлом, - пишет Н.И. Матузов, -юридическая наука исследовала в основном лишь формальные свойства и атрибуты права, без наполнения их реальным «человеческим содержанием», в то время как она должна быть обращена к живому индивиду, его сознанию, воле, интеллекту»1. При исследовании проблем взаимоотношения государства и личности главное внимание было сконцентрировано на взаимоотношении права и личности. Н.И. Матузов отмечает по данному поводу: «…пересмотр концепции взаимоотношений государства и личности неизбежно предполагает изменения в соотношении права и человека. И в этом и в другом случае на первое место выдвигаются человек и его интересы. Не личность для права, а право для личности. Оба уровня отношений переводятся в новое русло»1. Личность рассматривается как первичный, неизбежный, предопределяющий фактор формирования правового государства. По словам Д.А. Керимова, личность - «созидатель и творец правового государства, его совершенствования и развития на пути благосостояния и прогресса»2. В.Д. Перевалов считает, что в правовом государстве выстраиваются договорные взаимоотношения между государством и личностью на различных уровнях. Поскольку правовое государство и </w:t>
      </w:r>
      <w:r>
        <w:rPr>
          <w:rFonts w:ascii="Verdana" w:hAnsi="Verdana"/>
          <w:color w:val="000000"/>
          <w:sz w:val="18"/>
          <w:szCs w:val="18"/>
        </w:rPr>
        <w:lastRenderedPageBreak/>
        <w:t>гражданин «равноправные участники правоотношений, основной формой их взаимосвязей выступает договор (о приеме на работу, займа, купли-продажи, найма жилого помещения и т.д.)»3. На высшем уровне договорные взаимоотношения облекаются в конституционную форму, если конституция принята в результате всенародного голосования (референдум) и определяет «те особые права, которые передаются государству и не могут принадлежать отдельному гражданину, и те естественные права, которые составляют содержание частной жизни граждан и неприкосновенны для всего государства»4. Идеологическое многообразие способствовало распространению множества концепций прав человека и различных трактовок правового государства. При этом представители естественно-правовой, непозитивистской, либеральной, либертарно-юридической, социологической, антропологической и иных концепций, которые получили широкое распространение в постсоциалистическом обществе, признают права человека в качестве неотъемлемого признака правового государства. Тем не менее наблюдается различие в подходах к праву, взаимодействию права и государства, соотношению права и закона. Поэтому современные трактовки взаимоотношения правового государства и прав человека многообразны, опираются на различные теоретические и методологические подходы. Ныне наблюдается не однообразное (монистическое), а многообразное понимание взаимоотношения правового государства и прав человека. Современные трактовки взаимоотношения правового государства и прав человека осуществляются вокруг различных проблем. Одной из них является идея приоритета прав человека, неразрывно связанная с другой научной проблемой – автономностью индивида. Так, С.С. Алексеев, исследуя правовой статус человека, под правами человека понимает права отдельной, автономной личности. При этом подчеркивается, что права личности «находятся в одном ряду с государством как единым и верховным сувереном на данной территории, но имеют по отношению к государству в целом приоритет»1. Е.А. Лукашева приоритет прав человека по отношению к государству считает первичным, определяющим признаком правового государства, поскольку права человека, как «важнейший противовес всесилию государственной власти, призванной обеспечить ее ограничение и самоограничение», «держат дистанцию» между индивидом и государством»2.</w:t>
      </w:r>
    </w:p>
    <w:p w14:paraId="4336C442"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Сама юридическая конструкция «права человека» подразумевает права отдельной личности. Эта конструкция служит основанием формирования нового понимания прав человека, как и самой личности, ее социальной и правовой природы. Модель взаимодействия государства и человека, во-первых, обеспечивает автономность индивида, его гарантированную свободу. Во-вторых, человек вступает во взаимоотношения с властью как равноправный партнер, на равных основаниях. В-третьих, государство официально признает высшую социальную ценность человека, его прав и свобод. В правовом государстве внедряется новая модель взаимоотношения государства и человека, которая предполагает их правовую связь на основе не только национальных законов, но и международных стандартов, общепризнанных правовых ценностей. При этом правовой статус человека в отличие от гражданина определенного государства выходит далеко за рамки национального законодательства, поскольку права человека регулируются международными правовыми актами, приобретая наднациональный характер.</w:t>
      </w:r>
    </w:p>
    <w:p w14:paraId="2713F590"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Права человека имеют приоритет в государстве не для того, чтобы принизить роль и значение государства в жизнедеятельности общества, а с целью выстраивания разумного взаимоотношения государства (власти) с индивидами, имеющими различный правовой статус – граждане, иностранцы, лица без гражданства. Государство призвано гарантировать свободу и права каждого находящегося на его территории индивида независимо от его национальности, гражданства, социального статуса и т.д., ибо человек обладает неотъемлемыми и неприкосновенными правами и свободами. При таких условиях выстраивается модель взаимоотношения государства и каждого человека независимо от его гражданства, национальной принадлежности и иных личных качеств.</w:t>
      </w:r>
    </w:p>
    <w:p w14:paraId="43C06A22" w14:textId="77777777" w:rsidR="001F7040" w:rsidRDefault="001F7040" w:rsidP="001F704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Взаимосвязь правового государства и прав человека в рамках их </w:t>
      </w:r>
      <w:r>
        <w:rPr>
          <w:rFonts w:ascii="Verdana" w:hAnsi="Verdana"/>
          <w:color w:val="AC370B"/>
          <w:sz w:val="23"/>
          <w:szCs w:val="23"/>
        </w:rPr>
        <w:lastRenderedPageBreak/>
        <w:t>доктринальных трактовок</w:t>
      </w:r>
    </w:p>
    <w:p w14:paraId="47B46581"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Полную картину взаимосвязи правового государства и прав человека можно раскрыть и уяснить на основе соответствующего понимания правового государства и прав человека. Понятия правового государства и прав человека издавна находятся в центре внимания многих мыслителей, философов, исследователей. Не утихают споры и дискуссии о понятии указанных явлений и институтов в современной научной мысли.</w:t>
      </w:r>
    </w:p>
    <w:p w14:paraId="6EA6E6D1"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 xml:space="preserve">В юридической литературе наблюдается многообразие подходов к трактовке правового государства. По словам Н.И. Матузова, правовым является государство, «которое основано на верховенстве закона, предполагает неуклонное исполнение всеми гражданами, должностными лицами, органами государства и организациями законов государства; предусматривает взаимную ответственность гражданина и государства в рамках действующего законодательства; обеспечивает права и свободы граждан, необходимые для функционирования гражданского общества»1. По определению В.В. Вышкварцева: «Правовое государство – конституционно-правовой статус государства, предполагающий безусловное подчинение государства народному суверенитету, реальные гарантии прав и свобод человека со стороны государства, верховенство конституции по отношению ко всем другим нормативно-правовым актам, приоритет норм международного права над нормами национального, в основу организации государственной власти положен принцип разделения властей и реальный механизм контроля со стороны саморегулируемого гражданского общества»2. В качестве неотъемлемого свойства, непременного атрибута правового государства выступает господство или верховенство права. При этом по разному трактуется само право, верховенство (господство) которого предполагается в правовом государстве. По замыслу авторов различных концепций правового государства таковым должно быть идеальное право, соответствующее по всем своим сущностным характеристикам бытию правового государства. При этом тип правопонимания непосредственным образом отражается на идее господства права. В позитивистских, либеральных, либертарной и др. возможных вариациях и теориях правового государства идея господства права может пониматься по-разному в зависимости от того, что вкладывается в понятие права в данном случае. В естественно-правовых теориях идеальное право, господство которого предполагается в правовом государстве, сводится к естественному праву. Трактовка господства права происходит в рамках естественно-правовой доктрины1. В классическом юридическом позитивизме «понятие правового государства либо отвергается под тем предлогом, что позитивное право не может быть выше установившего его государства», либо объясняется через требование «самоограничения государства им же созданным позитивным правом»2. М.Н. Марченко убежден, что правовое государство остается и будет оставаться, хотя бы и в идеале, не чем иным как государством, и в процессе своего существования будет неизбежно заниматься правотворчеством, творить свое право. И это право «будет, если не вдаваться в утопию и иллюзию насчет природы и характера правового государства как института социальной силы, обладающей верховной властью», не чем иным как позитивным правом со всеми его традиционными признаками и вытекающими из этого последствиями»3. При этом необходимо учитывать динамику позитивного права, его связь с политическим режимом, проявление им разнообразных форм (этатистский позитивизм, социологический позитивизм, антропологический позитивизм). По словам М.Н. Марченко, умеренный позитивизм, который воплощается в правовом государстве, «весьма далек от позитивизма тоталитарного и авторитарного государства»1. Важнейшими составными частями «умеренного» позитивизма, соотносящегося с правовой системой правового государства, являются, «с одной стороны, естественно-правовые компоненты, возникающие в силу взаимосвязи и взаимодействия позитивного права с естественным правом, а с другой – волевые компоненты, ассоциирующиеся с расширением в условиях глобализации и регионализации сферы регулятивного воздействия на общественные отношения (наряду с нормативно-правовыми актами) правовых договоров, общепризнанных принципов и норм международного права, корпоративных, религиозных и иных актов, исходящих от различных негосударственных и надгосударственных </w:t>
      </w:r>
      <w:r>
        <w:rPr>
          <w:rFonts w:ascii="Verdana" w:hAnsi="Verdana"/>
          <w:color w:val="000000"/>
          <w:sz w:val="18"/>
          <w:szCs w:val="18"/>
        </w:rPr>
        <w:lastRenderedPageBreak/>
        <w:t>(например, Евросоюз) или межгосударственных (например, СНГ) объединений и их институтов»2.</w:t>
      </w:r>
    </w:p>
    <w:p w14:paraId="13F1E1C8"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В современных трактовках прав человека непременно указывают на степень осознанности прав и свобод личности самими людьми. Взаимосвязь правового государства и прав человека можно трактовать как на уровне абстрактной конструкции, идеальной модели, неотъемлемого признака, сущностной характеристики правового государства, так и на уровне общественного и правового сознания. Для того, чтобы идеал правовой государственности стал реальностью, необходимо его осознание в качестве такового членами общества. Существует мнение, что правовое государство -это не абстрактный механизм власти, соблюдающий созданное им же самим позитивное законодательство, а явление, весьма слитное с правом и национальным правосознанием3.</w:t>
      </w:r>
    </w:p>
    <w:p w14:paraId="416F60E4"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Проблема осознания правового государства и прав человека имеет принципиальное значение. Так, на осознание западных идей правового государства и прав человека в Таджикистане влияют национальные традиции, духовно-культурные устои жизнедеятельности общества, психология и сознание местного населения. Реализация идей и теорий правового государства и прав человека зависит от того, как воспринимают данные явления члены конкретного общества. Общественное сознание должно находиться на таком уровне, при котором обеспечивается адекватное, реалистичное осознание правового государства как формы жизнедеятельности свободных людей. Проявления нигилизма либо романтизма, деформация общественного сознания, преобладание в структуре общественного сознания неправовых представлений, проникновение в общественное сознание нездоровых элементов (радикальные, экстремистские и подобные лозунги и представления) служат преградой для разумного восприятия идеи правового государства как условия свободы личности. «Общественное сознание, -пишет Л.А. Морозова, - где не доминирует идея прав личности, часто бывает неспособно стать надежным партнером даже прогрессивной власти, выхолащивания ее изнутри»1.</w:t>
      </w:r>
    </w:p>
    <w:p w14:paraId="68E4DD3F" w14:textId="77777777" w:rsidR="001F7040" w:rsidRDefault="001F7040" w:rsidP="001F704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Социальное правовое государство и права человека</w:t>
      </w:r>
    </w:p>
    <w:p w14:paraId="2F08B299"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Как известно, выполнение государством социально-экономических функций имеет давнюю историю. Любое государство, независимо от того, является ли оно правовым или нет, осуществляет социально-экономическую деятельность. Однако содержание данной функции отражает сущность и социальное назначение государства в различные исторические периоды, и поэтому бывает разным. Социальные функции государства динамичны, так же как и развитие государственности. Своими особенностями обладают также социальные функции современных государств. Одна из этих особенностей связана с тем, что сущностная характеристика современных государств стала раскрываться в контексте прав человека. Формирование идей правового, затем социального государства связано также с правами человека. Переход от правового к социальному государству связан с эволюцией поколений прав человека – от гражданских, политических прав к социально-экономическим и культурным правам. По мнению Л.Н. Кочетковой, генезис и эволюция теории и практики социального государства охватывает ряд этапов: 1) догосударственный (накапливание предпосылок социальной государственности в виде социальных практик и обычаев); 2) подготовительный или государственный; 3) зарождение концепции социального государства в учениях Нового времени до появления концепции Л. Фон Штейна; 4) классический или европейский этап с середины XIX в. до 30-х гг. XX в. (теория и практика социального государства в европейских государствах); 5) этап правового социального государства с середины 30-х гг. и до конца 40-х гг. XX в. (окончательная передача социальных функций от общества государству в рамках идеи гарантированного минимального дохода, связи социальной и государственной экономической политики); 6) этап «государства социальных услуг» с конца 40-х гг. по 60-е гг. XX в. (переход от пассивной к активной социальной политике на национальном уровне); 7) этап «государства всеобщего благоденствия» (60-е гг. и середина 80-х гг. XX в.); 8) этап кризиса государства всеобщего благоденствия (середина 80-х гг. - середина 90-х гг. XX в.); 9) этап либерального социального государства (с середины 90-х гг. XX в.)1.</w:t>
      </w:r>
    </w:p>
    <w:p w14:paraId="7BB862F5"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lastRenderedPageBreak/>
        <w:t>Появление идеи социального государства связывается с переходом от идей классического либерализма с его принципами индивидуальной свободы к активизации социально-экономической деятельности государства2 или с усилением в середине XIX в. социальных функций государства в Западной Европе и Северной Америке3.</w:t>
      </w:r>
    </w:p>
    <w:p w14:paraId="6BB946DD"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Многие авторы не раз подчеркивали, что с выполнением государством социальных функций усиливается степень участия государства в жизни людей, что, в конечном счете, выражается в смене властных отношений абсолютистского государства публично-правовыми отношениями в правовом государстве. В литературе подчеркивают своеобразие позиций русских юристов, заключающееся в том, что они особо подчеркивали значение социально-экономических прав, предполагающих участие общества и государства в судьбе индивида4.</w:t>
      </w:r>
    </w:p>
    <w:p w14:paraId="3DE081D9"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По устоявшемуся в научной литературе мнению, появление концепции правового государства связано с первым поколением прав человека (гражданские и политические), а концепции социального государства – с правами второго поколения (социально-экономические)5.</w:t>
      </w:r>
    </w:p>
    <w:p w14:paraId="68E23B85"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В отличие от прав первого поколения, сформировавшихся в качестве либеральных ценностей и направленных на обеспечение свободы индивида от вмешательства государства, второе поколение прав человека формируется в процессе улучшения экономического положения людей, повышения их культурного статуса, преодоления последствий имущественной поляризации западного общества под лозунгами либерализации общества. По словам А. Маслоу, нереализованные потребности служат «серьезным источником нестабильности, ибо оно («ницшеанское» высокомерие «управляющих») приходит в столкновение с «тимосом» - духовной потребностью человека быть признанным равным с другими. Именно здесь нам видится глубинный смысл многих острейших социально-политических коллизий прошлого и настоящего и, соответственно, подрыва устойчивого развития»1.</w:t>
      </w:r>
    </w:p>
    <w:p w14:paraId="4A12476A"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«Природа второго поколения прав человека, - пишет В.А. Максименко, - другая. Здесь в первую очередь идет речь о созидательной деятельности государства, о создании условий, в которых человек может реализовывать социально-экономические права. Для осуществления этих прав недостаточно воздерживаться от вмешательства в данную сферу. Ратифицируя международные договоры по правам человека второго поколения, государство фактически берет на себя обязательство быть социальным государством, обеспечивающим достойную жизнь своим гражданам»2. В литературе подчеркивают зависимость прав второго поколения от устойчивости политики государства, их меньшую универсальность в сравнении с политическими и гражданскими правами, распространенность на определенные категории населения, применение расплывчатых, рекомендательных формулировок («достойная жизнь», «удовлетворительное существование»), зависимость от состояния экономики и ресурсов3.</w:t>
      </w:r>
    </w:p>
    <w:p w14:paraId="3A4A8F24" w14:textId="77777777" w:rsidR="001F7040" w:rsidRDefault="001F7040" w:rsidP="001F704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Правовая политика в сфере прав человека в Республике Таджикистан</w:t>
      </w:r>
    </w:p>
    <w:p w14:paraId="5962258E"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Значение прав человека в правовом государстве подтверждается тем, что их признание, защита, обеспечение является неразрывной частью правовой политики. Государство обязуется признавать, соблюдать и защищать права и свободы человека и гражданина. Одной из форм реализации данной обязанности, возложенной на государство на официальном (международно-правовом и конституционно-правовом) уровне, является выстраивание и целенаправленная реализация им политики в сфере прав человека. В связи с этим в последние годы правовая политика в сфере прав человека, да и сама проблема правовой политики в целом находится в центре внимания многих исследователей.</w:t>
      </w:r>
    </w:p>
    <w:p w14:paraId="25478B62"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 xml:space="preserve">По словам Н.В. Исакова, эффективным средством обеспечения прав и свобод человека и гражданина «может выступать научно обоснованная, системная правовая политика государства», благодаря которой существует возможность совершенствования законодательства в сфере прав </w:t>
      </w:r>
      <w:r>
        <w:rPr>
          <w:rFonts w:ascii="Verdana" w:hAnsi="Verdana"/>
          <w:color w:val="000000"/>
          <w:sz w:val="18"/>
          <w:szCs w:val="18"/>
        </w:rPr>
        <w:lastRenderedPageBreak/>
        <w:t>человека, разумного соединения начал власти и свободы, использования юридических механизмов с целью перевода политической стратегии в плоскость последовательного осуществления конституционных прав и свобод1. Правовая политика в сфере защиты прав человека и правовая политика как политико-правовое явление в целом соотносятся как часть и целое. Правовая политика в сфере прав человека является главным приоритетом правовой политики в целом, тем самым пронизывая все направления, виды и формы ее реализации. В то же время правовая политика в сфере прав человека имеет самостоятельный статус, является одним из приоритетных направлений или видов правовой политики в целом.</w:t>
      </w:r>
    </w:p>
    <w:p w14:paraId="44BAFD6D"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Правовая политика в сфере обеспечения прав и свобод человека имеет также международный уровень. По словам И.Г. Сердюковой, обеспечение прав и законных интересов человека как важнейший приоритет российской международно-правовой политики – это «деятельность государства, направленная на обеспечение прав и законных интересов личности в соответствии с международными стандартами, укрепление суверенитета и последовательная реализация на международном уровне национальных интересов, защита мирового порядка, основанного на соблюдении и уважении общепризнанных принципов и норм международного права, обеспечение совместимости международной и национальной правовых систем, активное участие в реформировании сложившейся системы международных отношений»2. Понятие правовой политики, ее цели, задачи, приоритеты, уровни, виды, направления, средства и формы реализации соответственно предопределяют сущностные характеристики, а также направления, виды и формы осуществления правовой политики в сфере прав человека. По вопросу понимания правовой политики в литературе существует многообразие подходов и научных трактовок. По словам Н.И. Матузова, правовая политика, будучи одной из разновидностей политики вообще (как родового понятия), представляет собой комплекс мер, идей, задач, целей, программ, методов, реализуемых в сфере действия права и посредством права1. По определению А.В. Малько и К.В. Шундикова, «правовая политика – это научно обоснованная, последовательная и системная деятельность государственных и муниципальных органов по созданию эффективного механизма правового регулирования, по цивилизованному использованию юридических средств в достижении таких целей, как наиболее полное обеспечение прав и свобод человека и гражданина, укрепление дисциплины, законности и правопорядка, формирование правовой государственности и высокого уровня правовой культуры в жизни общества и личности»2. О.Ю. Рыбаков различает общее понятие правовой политики и понятие правовой политики в сфере защиты прав и свобод личности, соотносящиеся как часть и целое. Правовая политика в сфере защиты прав и свобод личности определяется как «деятельность государственных, муниципальных органов и общественных объединений, а также самой личности, обеспечивающей создание, поддержание, развитие и реализацию условий для защиты ее прав и свобод, выступает средством реализации правомерных притязаний личности»3. В указанных выше определениях принципиальное значение имеет определение субъектов правовой политики. Правовую политику не следует понимать буквально как политику исключительно государства. В правовом демократическом государстве и свободном гражданском обществе как государство, так и иные негосударственные организации, а также граждане (индивидуально и совместно – в качестве народа как источника государственной власти), все гражданское общество в целом призваны активно участвовать в выстраивании и реализации правовой политики. Поэтому большинство авторов субъектами правовой политики считает государство, общественные объединения граждан и иные субъекты. Например, А.В. Малько и К.В. Шундиков субъектами правовой политики считают государство, различного рода объединения и организации граждан, другие субъекты локального правотворчества1. Субъектами правовой политики в сфере прав человека являются государство, его органы, должностные лица, граждане, общественные объединения, политические партии, иные общественные организации.</w:t>
      </w:r>
    </w:p>
    <w:p w14:paraId="54991BBC" w14:textId="77777777" w:rsidR="001F7040" w:rsidRDefault="001F7040" w:rsidP="001F7040">
      <w:pPr>
        <w:pStyle w:val="WW8Num1z2"/>
        <w:shd w:val="clear" w:color="auto" w:fill="FFFFFF"/>
        <w:rPr>
          <w:rFonts w:ascii="Verdana" w:hAnsi="Verdana"/>
          <w:color w:val="000000"/>
          <w:sz w:val="18"/>
          <w:szCs w:val="18"/>
        </w:rPr>
      </w:pPr>
      <w:r>
        <w:rPr>
          <w:rFonts w:ascii="Verdana" w:hAnsi="Verdana"/>
          <w:color w:val="000000"/>
          <w:sz w:val="18"/>
          <w:szCs w:val="18"/>
        </w:rPr>
        <w:t xml:space="preserve">В структуре правовой политики в сфере прав и свобод личности О.Ю. Рыбаков выделяет доктринальную, организационно-функциональную, перспективно-преобразовательную </w:t>
      </w:r>
      <w:r>
        <w:rPr>
          <w:rFonts w:ascii="Verdana" w:hAnsi="Verdana"/>
          <w:color w:val="000000"/>
          <w:sz w:val="18"/>
          <w:szCs w:val="18"/>
        </w:rPr>
        <w:lastRenderedPageBreak/>
        <w:t>составляющие. Доктринальная составляющая включает идеи, концепции, учения, ценности, ориентиры правового бытия личности и их выражение в виде программ конкретных действий. Организационно-формальная составляющая включает формы, виды, приоритеты правовой политики в сфере защиты прав и свобод личности. Перспективно-преобразовательная составляющая заключается в аккумулировании перспективных направлений защиты прав и свобод личности</w:t>
      </w:r>
    </w:p>
    <w:p w14:paraId="6DB170BE" w14:textId="77777777" w:rsidR="001F7040" w:rsidRPr="001F7040" w:rsidRDefault="001F7040" w:rsidP="001F7040"/>
    <w:sectPr w:rsidR="001F7040" w:rsidRPr="001F704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EE58E" w14:textId="77777777" w:rsidR="006117BB" w:rsidRDefault="006117BB">
      <w:pPr>
        <w:spacing w:after="0" w:line="240" w:lineRule="auto"/>
      </w:pPr>
      <w:r>
        <w:separator/>
      </w:r>
    </w:p>
  </w:endnote>
  <w:endnote w:type="continuationSeparator" w:id="0">
    <w:p w14:paraId="7F975A32" w14:textId="77777777" w:rsidR="006117BB" w:rsidRDefault="00611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921F8" w14:textId="77777777" w:rsidR="006117BB" w:rsidRDefault="006117BB">
      <w:pPr>
        <w:spacing w:after="0" w:line="240" w:lineRule="auto"/>
      </w:pPr>
      <w:r>
        <w:separator/>
      </w:r>
    </w:p>
  </w:footnote>
  <w:footnote w:type="continuationSeparator" w:id="0">
    <w:p w14:paraId="30F3ED0C" w14:textId="77777777" w:rsidR="006117BB" w:rsidRDefault="00611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4BC2004"/>
    <w:multiLevelType w:val="multilevel"/>
    <w:tmpl w:val="E804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D485B14"/>
    <w:multiLevelType w:val="multilevel"/>
    <w:tmpl w:val="8C7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7"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54B0E20"/>
    <w:multiLevelType w:val="multilevel"/>
    <w:tmpl w:val="2402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5DDC1750"/>
    <w:multiLevelType w:val="multilevel"/>
    <w:tmpl w:val="3300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E959F6"/>
    <w:multiLevelType w:val="multilevel"/>
    <w:tmpl w:val="DDF2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1417B6"/>
    <w:multiLevelType w:val="multilevel"/>
    <w:tmpl w:val="9A2A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3"/>
  </w:num>
  <w:num w:numId="7">
    <w:abstractNumId w:val="41"/>
  </w:num>
  <w:num w:numId="8">
    <w:abstractNumId w:val="41"/>
    <w:lvlOverride w:ilvl="1">
      <w:startOverride w:val="5"/>
    </w:lvlOverride>
  </w:num>
  <w:num w:numId="9">
    <w:abstractNumId w:val="41"/>
    <w:lvlOverride w:ilvl="1">
      <w:startOverride w:val="12"/>
    </w:lvlOverride>
  </w:num>
  <w:num w:numId="10">
    <w:abstractNumId w:val="28"/>
  </w:num>
  <w:num w:numId="11">
    <w:abstractNumId w:val="48"/>
  </w:num>
  <w:num w:numId="12">
    <w:abstractNumId w:val="30"/>
  </w:num>
  <w:num w:numId="13">
    <w:abstractNumId w:val="45"/>
  </w:num>
  <w:num w:numId="14">
    <w:abstractNumId w:val="31"/>
  </w:num>
  <w:num w:numId="15">
    <w:abstractNumId w:val="34"/>
  </w:num>
  <w:num w:numId="16">
    <w:abstractNumId w:val="38"/>
  </w:num>
  <w:num w:numId="17">
    <w:abstractNumId w:val="27"/>
  </w:num>
  <w:num w:numId="18">
    <w:abstractNumId w:val="37"/>
  </w:num>
  <w:num w:numId="19">
    <w:abstractNumId w:val="32"/>
  </w:num>
  <w:num w:numId="20">
    <w:abstractNumId w:val="35"/>
  </w:num>
  <w:num w:numId="21">
    <w:abstractNumId w:val="47"/>
  </w:num>
  <w:num w:numId="22">
    <w:abstractNumId w:val="40"/>
  </w:num>
  <w:num w:numId="23">
    <w:abstractNumId w:val="43"/>
  </w:num>
  <w:num w:numId="24">
    <w:abstractNumId w:val="29"/>
  </w:num>
  <w:num w:numId="2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040"/>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8A"/>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7BB"/>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266"/>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C62"/>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12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1A"/>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1856">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905">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29830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02088">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085469">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232065">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717024">
      <w:bodyDiv w:val="1"/>
      <w:marLeft w:val="0"/>
      <w:marRight w:val="0"/>
      <w:marTop w:val="0"/>
      <w:marBottom w:val="0"/>
      <w:divBdr>
        <w:top w:val="none" w:sz="0" w:space="0" w:color="auto"/>
        <w:left w:val="none" w:sz="0" w:space="0" w:color="auto"/>
        <w:bottom w:val="none" w:sz="0" w:space="0" w:color="auto"/>
        <w:right w:val="none" w:sz="0" w:space="0" w:color="auto"/>
      </w:divBdr>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28275">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310590">
      <w:bodyDiv w:val="1"/>
      <w:marLeft w:val="0"/>
      <w:marRight w:val="0"/>
      <w:marTop w:val="0"/>
      <w:marBottom w:val="0"/>
      <w:divBdr>
        <w:top w:val="none" w:sz="0" w:space="0" w:color="auto"/>
        <w:left w:val="none" w:sz="0" w:space="0" w:color="auto"/>
        <w:bottom w:val="none" w:sz="0" w:space="0" w:color="auto"/>
        <w:right w:val="none" w:sz="0" w:space="0" w:color="auto"/>
      </w:divBdr>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32991</TotalTime>
  <Pages>13</Pages>
  <Words>6919</Words>
  <Characters>39443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46270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6296</cp:revision>
  <cp:lastPrinted>2009-02-06T05:36:00Z</cp:lastPrinted>
  <dcterms:created xsi:type="dcterms:W3CDTF">2016-09-19T15:12:00Z</dcterms:created>
  <dcterms:modified xsi:type="dcterms:W3CDTF">2017-02-22T12:42:00Z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