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5EE" w14:textId="36189EFF" w:rsidR="004F46CD" w:rsidRPr="00E37E89" w:rsidRDefault="00E37E89" w:rsidP="00E37E89">
      <w:r>
        <w:rPr>
          <w:rFonts w:ascii="Verdana" w:hAnsi="Verdana"/>
          <w:b/>
          <w:bCs/>
          <w:color w:val="000000"/>
          <w:shd w:val="clear" w:color="auto" w:fill="FFFFFF"/>
        </w:rPr>
        <w:t xml:space="preserve">Шаймурзін Марк Рафісович. Особливості електронейроміографічного патерну у ранній діагностиці мієліно- та аксонопатій у дітей з спадковими мотосенсорними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поліневропатіями.-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14.01.15, Нац. акад. мед. наук України, Держ. установа "Ін-т неврології, психіатрії та наркології НАМН України". - Х., 2012.- 200 с.</w:t>
      </w:r>
    </w:p>
    <w:sectPr w:rsidR="004F46CD" w:rsidRPr="00E37E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B5407" w14:textId="77777777" w:rsidR="00082AC2" w:rsidRDefault="00082AC2">
      <w:pPr>
        <w:spacing w:after="0" w:line="240" w:lineRule="auto"/>
      </w:pPr>
      <w:r>
        <w:separator/>
      </w:r>
    </w:p>
  </w:endnote>
  <w:endnote w:type="continuationSeparator" w:id="0">
    <w:p w14:paraId="49A6574D" w14:textId="77777777" w:rsidR="00082AC2" w:rsidRDefault="0008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D7FD5" w14:textId="77777777" w:rsidR="00082AC2" w:rsidRDefault="00082AC2">
      <w:pPr>
        <w:spacing w:after="0" w:line="240" w:lineRule="auto"/>
      </w:pPr>
      <w:r>
        <w:separator/>
      </w:r>
    </w:p>
  </w:footnote>
  <w:footnote w:type="continuationSeparator" w:id="0">
    <w:p w14:paraId="59909D0D" w14:textId="77777777" w:rsidR="00082AC2" w:rsidRDefault="0008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2A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AC2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125414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5224</cp:revision>
  <dcterms:created xsi:type="dcterms:W3CDTF">2024-06-20T08:51:00Z</dcterms:created>
  <dcterms:modified xsi:type="dcterms:W3CDTF">2025-01-22T17:17:00Z</dcterms:modified>
  <cp:category/>
</cp:coreProperties>
</file>