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0F0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Мащенко Павел Евгеньевич. Повышение работоспособности устройств интервального регулирования движения поездов с учетом уровня электромагнитных помех, создаваемых перспективным электроподвижным </w:t>
      </w:r>
      <w:proofErr w:type="gramStart"/>
      <w:r w:rsidRPr="00DC7A18">
        <w:rPr>
          <w:rFonts w:ascii="Verdana" w:hAnsi="Verdana"/>
          <w:b/>
          <w:bCs/>
          <w:color w:val="000000"/>
          <w:shd w:val="clear" w:color="auto" w:fill="FFFFFF"/>
        </w:rPr>
        <w:t>составом :</w:t>
      </w:r>
      <w:proofErr w:type="gramEnd"/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... кандидата технических наук : 05.22.08 Москва, 2007 207 с., </w:t>
      </w:r>
      <w:proofErr w:type="spellStart"/>
      <w:r w:rsidRPr="00DC7A18"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.: с. 181-189 РГБ ОД, 61:07-5/4386 </w:t>
      </w:r>
    </w:p>
    <w:p w14:paraId="283E735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EDB8F9E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821976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Государственное образовательное учреждение высшего</w:t>
      </w:r>
    </w:p>
    <w:p w14:paraId="4BB9758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профессионального образования</w:t>
      </w:r>
    </w:p>
    <w:p w14:paraId="24DE773D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«Московский государственный университет путей сообщения»</w:t>
      </w:r>
    </w:p>
    <w:p w14:paraId="059125AC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На правах рукописи</w:t>
      </w:r>
    </w:p>
    <w:p w14:paraId="2C5EE80A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Мащенко Павел Евгеньевич</w:t>
      </w:r>
    </w:p>
    <w:p w14:paraId="4FF89615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</w:p>
    <w:p w14:paraId="0EA2844A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BB9CA80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ПОВЫШЕНИЕ РАБОТОСПОСОБНОСТИ</w:t>
      </w:r>
    </w:p>
    <w:p w14:paraId="719A4C2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УСТРОЙСТВ ИНТЕРВАЛЬНОГО РЕГУЛИРОВАНИЯ</w:t>
      </w:r>
    </w:p>
    <w:p w14:paraId="4767F165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ДВИЖЕНИЯ ПОЕЗДОВ С УЧЁТОМ УРОВНЯ</w:t>
      </w:r>
    </w:p>
    <w:p w14:paraId="79A49451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ЭЛЕКТРОМАГНИТНЫХ ПОМЕХ, СОЗДАВАЕМЫХ</w:t>
      </w:r>
    </w:p>
    <w:p w14:paraId="39DAE575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ПЕРСПЕКТИВНЫМ ЭЛЕКТРОПОДВИЖНЫМ</w:t>
      </w:r>
    </w:p>
    <w:p w14:paraId="1DA18110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СОСТАВОМ</w:t>
      </w:r>
    </w:p>
    <w:p w14:paraId="57E1083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Специальность: 05.22.08 - Управление процессами перевозок</w:t>
      </w:r>
    </w:p>
    <w:p w14:paraId="6F0447A5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Диссертация на соискание ученой степени</w:t>
      </w:r>
    </w:p>
    <w:p w14:paraId="123D6AD9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кандидата технических наук</w:t>
      </w:r>
    </w:p>
    <w:p w14:paraId="5938BB81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Научный руководитель доктор технических наук, профессор Кравцов Ю.А.</w:t>
      </w:r>
    </w:p>
    <w:p w14:paraId="707E384D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Москва - 2007 </w:t>
      </w:r>
    </w:p>
    <w:p w14:paraId="3542C62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СОДЕРЖАНИЕ</w:t>
      </w:r>
    </w:p>
    <w:p w14:paraId="5DB89A7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Стр.</w:t>
      </w:r>
    </w:p>
    <w:p w14:paraId="0E0A87F9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5</w:t>
      </w:r>
    </w:p>
    <w:p w14:paraId="450F0C89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1.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 ТЯГОВОГО ТОКА НА РЕЛЬСОВЫЕ ЦЕПИ БЕЗ</w:t>
      </w:r>
    </w:p>
    <w:p w14:paraId="6D60BCA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ИЗОЛИРУЮЩИХ СТЫКОВ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33317D0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1Л. Уравнения распространения напряжений и токов в двухпроводной и однопроводной рельсовых линиях, учитывающие взаимную индуктивность контактного провода и рельсов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10</w:t>
      </w:r>
    </w:p>
    <w:p w14:paraId="0C9637DC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lastRenderedPageBreak/>
        <w:t>1.2.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Методика приближённой оценки мешающего влияния тягового</w:t>
      </w:r>
    </w:p>
    <w:p w14:paraId="79E99CE1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тока на бесстыковые рельсовые цепи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17</w:t>
      </w:r>
    </w:p>
    <w:p w14:paraId="1234592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1.3.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Методика определения мешающего влияния тягового тока на</w:t>
      </w:r>
    </w:p>
    <w:p w14:paraId="7D4CF8EB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бесстыковые рельсовые цепи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27</w:t>
      </w:r>
    </w:p>
    <w:p w14:paraId="0CF641B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1.4.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расчётных данных влияния тягового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тока на тональные</w:t>
      </w:r>
    </w:p>
    <w:p w14:paraId="5E43C42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рельсовые цепи без изолирующих стыков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37</w:t>
      </w:r>
    </w:p>
    <w:p w14:paraId="68C8C84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1.5.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Экспериментальные исследования суммарного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тока в рельсах на</w:t>
      </w:r>
    </w:p>
    <w:p w14:paraId="79B77FBD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участках между станциями Буй и Вохтога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50</w:t>
      </w:r>
    </w:p>
    <w:p w14:paraId="0FAC67DB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1.6.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60</w:t>
      </w:r>
    </w:p>
    <w:p w14:paraId="6418E92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2.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 ТЯГОВОГО ТОКА НА РЕЛЬСОВЫЕ ЦЕПИ С</w:t>
      </w:r>
    </w:p>
    <w:p w14:paraId="2AB4E6D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ИЗОЛИРУЮЩИМИ СТЫКАМИ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62</w:t>
      </w:r>
    </w:p>
    <w:p w14:paraId="79089AF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2.1.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 постоянной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составляющей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тягового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тока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на</w:t>
      </w:r>
    </w:p>
    <w:p w14:paraId="5A2F211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приёмные устройства рельсовых цепей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62</w:t>
      </w:r>
    </w:p>
    <w:p w14:paraId="5D167F19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2.2.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 переменной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составляющей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тягового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тока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на</w:t>
      </w:r>
    </w:p>
    <w:p w14:paraId="4316BDF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приёмные устройства рельсовых цепей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75</w:t>
      </w:r>
    </w:p>
    <w:p w14:paraId="5A81BAEA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2.3.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Исследование влияния гармоник тягового тока на рельсовые цепи,</w:t>
      </w:r>
    </w:p>
    <w:p w14:paraId="3DEC8038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расположенные на станции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87</w:t>
      </w:r>
    </w:p>
    <w:p w14:paraId="34FFBCA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2.4.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Сравнение методик расчёта мешающего влияния гармонических</w:t>
      </w:r>
    </w:p>
    <w:p w14:paraId="51F66555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составляющих тягового тока на приёмные устройства рельсовых цепей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101</w:t>
      </w:r>
    </w:p>
    <w:p w14:paraId="749A4CF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109 </w:t>
      </w:r>
    </w:p>
    <w:p w14:paraId="5E87667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з</w:t>
      </w:r>
    </w:p>
    <w:p w14:paraId="0B72A8B1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3.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МЕТОДИКА ЭКСПЕРИМЕНТАЛЬНОЙ ПРОВЕРКИ ПАРАМЕТРОВ</w:t>
      </w:r>
    </w:p>
    <w:p w14:paraId="48BE5063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ЭЛЕКТРОМАГНИТНОЙ СОВМЕСТИМОСТИ ЭЛЕКТРОПОДВИЖНОГО СОСТАВА И РЕЛЬСОВЫХ ЦЕПЕЙ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112</w:t>
      </w:r>
    </w:p>
    <w:p w14:paraId="481EC7B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ЗЛ.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Методы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измерения первичных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параметров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несимметричной</w:t>
      </w:r>
    </w:p>
    <w:p w14:paraId="5FE1C5CC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рельсовой линии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112</w:t>
      </w:r>
    </w:p>
    <w:p w14:paraId="736E140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3.2.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Методы измерения параметров цепи канализации тягового тока</w:t>
      </w:r>
    </w:p>
    <w:p w14:paraId="6103201D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“контактный провод-рельсы”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123</w:t>
      </w:r>
    </w:p>
    <w:p w14:paraId="4FF3F52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3.3.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Методика экспериментального исследования уровня мешающего</w:t>
      </w:r>
    </w:p>
    <w:p w14:paraId="5D10428A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влияния гармоник тягового тока на путевой приёмник рельсовой цепи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130</w:t>
      </w:r>
    </w:p>
    <w:p w14:paraId="53D5878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3.4.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144</w:t>
      </w:r>
    </w:p>
    <w:p w14:paraId="41BCB58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ЭЛЕКТРОМАГНИТНОЙ СОВМЕСТИМОСТИ</w:t>
      </w:r>
    </w:p>
    <w:p w14:paraId="7F8E0A49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lastRenderedPageBreak/>
        <w:t>ФАЗОЧУВСТВИТЕЛЬНЫХ РЕЛЬСОВЫХ ЦЕПЕЙ И ПЕРСПЕКТИВНОГО ЭЛЕКТРОПОДВИЖНОГО СОСТАВА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145</w:t>
      </w:r>
    </w:p>
    <w:p w14:paraId="072D7C79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4.1.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Условия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обеспечения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электромагнитной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совместимости</w:t>
      </w:r>
    </w:p>
    <w:p w14:paraId="770CDB6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DC7A18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 и перспективного электроподвижного состава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145</w:t>
      </w:r>
    </w:p>
    <w:p w14:paraId="434B3B58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4.2.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Методика испытаний электровоза ЭП10 на электромагнитную совместимость с рельсовыми цепями устройств сигнализации, централизации и</w:t>
      </w:r>
    </w:p>
    <w:p w14:paraId="383068EC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блокировки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150</w:t>
      </w:r>
    </w:p>
    <w:p w14:paraId="34360A4A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4.3.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электромагнитной совместимости станционных</w:t>
      </w:r>
    </w:p>
    <w:p w14:paraId="18358995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 w:rsidRPr="00DC7A18">
        <w:rPr>
          <w:rFonts w:ascii="Verdana" w:hAnsi="Verdana"/>
          <w:b/>
          <w:bCs/>
          <w:color w:val="000000"/>
          <w:shd w:val="clear" w:color="auto" w:fill="FFFFFF"/>
        </w:rPr>
        <w:t>фазочувствительных</w:t>
      </w:r>
      <w:proofErr w:type="spellEnd"/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рельсовых цепей и электровоза ЭП10 с импульсным преобразователем при электротяге переменного тока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154</w:t>
      </w:r>
    </w:p>
    <w:p w14:paraId="58EBE4A8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4.4.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Эксплуатационные испытания локомотивного индикатора исправности электрооборудования электровоза ЭП10 по требованиям</w:t>
      </w:r>
    </w:p>
    <w:p w14:paraId="6CAFDE7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электромагнитной совместимости со станционными </w:t>
      </w:r>
      <w:proofErr w:type="spellStart"/>
      <w:r w:rsidRPr="00DC7A18">
        <w:rPr>
          <w:rFonts w:ascii="Verdana" w:hAnsi="Verdana"/>
          <w:b/>
          <w:bCs/>
          <w:color w:val="000000"/>
          <w:shd w:val="clear" w:color="auto" w:fill="FFFFFF"/>
        </w:rPr>
        <w:t>фазочувствительными</w:t>
      </w:r>
      <w:proofErr w:type="spellEnd"/>
    </w:p>
    <w:p w14:paraId="31F6687A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рельсовыми цепями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159</w:t>
      </w:r>
    </w:p>
    <w:p w14:paraId="5512E3DD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4.5.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Анализ влияния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на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станционные </w:t>
      </w:r>
      <w:proofErr w:type="spellStart"/>
      <w:r w:rsidRPr="00DC7A18">
        <w:rPr>
          <w:rFonts w:ascii="Verdana" w:hAnsi="Verdana"/>
          <w:b/>
          <w:bCs/>
          <w:color w:val="000000"/>
          <w:shd w:val="clear" w:color="auto" w:fill="FFFFFF"/>
        </w:rPr>
        <w:t>фазочувствительные</w:t>
      </w:r>
      <w:proofErr w:type="spellEnd"/>
      <w:r w:rsidRPr="00DC7A18">
        <w:rPr>
          <w:rFonts w:ascii="Verdana" w:hAnsi="Verdana"/>
          <w:b/>
          <w:bCs/>
          <w:color w:val="000000"/>
          <w:shd w:val="clear" w:color="auto" w:fill="FFFFFF"/>
        </w:rPr>
        <w:t xml:space="preserve"> рельсовые</w:t>
      </w:r>
    </w:p>
    <w:p w14:paraId="50BC836E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цепи нескольких электровозов 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фидерной зоне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167</w:t>
      </w:r>
    </w:p>
    <w:p w14:paraId="6B0AED3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4.6.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Выводы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177</w:t>
      </w:r>
    </w:p>
    <w:p w14:paraId="1D3C855F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ЗАКЛЮЧЕНИЕ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178 </w:t>
      </w:r>
    </w:p>
    <w:p w14:paraId="35D54E2D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СПИСОК ИСПОЛЬЗОВАННЫХ ИСТОЧНИКОВ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181</w:t>
      </w:r>
    </w:p>
    <w:p w14:paraId="5324E4D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ПРИЛОЖЕНИЕ 1. Расшифровка коэффициентов, принятых при расчёте величины влияния тягового тока и его гармонических составляющих на приёмную аппаратуру тональных рельсовых цепей без изолирующих</w:t>
      </w:r>
    </w:p>
    <w:p w14:paraId="496B2946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стыков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190</w:t>
      </w:r>
    </w:p>
    <w:p w14:paraId="2F1B4C3B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ПРИЛОЖЕНИЕ 2. Результаты “приближённых” и ’’точных” расчётов для гармонической составляющей тягового тока частотой 480 Гц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193</w:t>
      </w:r>
    </w:p>
    <w:p w14:paraId="45483931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ПРИЛОЖЕНИЕ 3. Расшифровка коэффициентов, принятых при расчёте величины влияния переменной составляющей тягового тока и его гармонических составляющих на приёмную аппаратуру тональных рельсовых</w:t>
      </w:r>
    </w:p>
    <w:p w14:paraId="7EC6EAC2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цепей с изолирующими стыками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196</w:t>
      </w:r>
    </w:p>
    <w:p w14:paraId="30290C23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ПРИЛОЖЕНИЕ 4. Расшифровка коэффициентов, принятых при расчёте величины влияния тягового тока и его гармонических составляющих на приёмную аппаратуру рельсовых цепей с изолирующими стыками на</w:t>
      </w:r>
    </w:p>
    <w:p w14:paraId="31C377B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t>станции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>198</w:t>
      </w:r>
    </w:p>
    <w:p w14:paraId="32D3F7D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DC7A18">
        <w:rPr>
          <w:rFonts w:ascii="Verdana" w:hAnsi="Verdana"/>
          <w:b/>
          <w:bCs/>
          <w:color w:val="000000"/>
          <w:shd w:val="clear" w:color="auto" w:fill="FFFFFF"/>
        </w:rPr>
        <w:lastRenderedPageBreak/>
        <w:t>ПРИЛОЖЕНИЕ 5. Результаты анализа бортовой базы диагностических данных электровозов ЭП10 по регистрации срабатываний локомотивного индикатора электромагнитной совместимости</w:t>
      </w:r>
      <w:r w:rsidRPr="00DC7A18">
        <w:rPr>
          <w:rFonts w:ascii="Verdana" w:hAnsi="Verdana"/>
          <w:b/>
          <w:bCs/>
          <w:color w:val="000000"/>
          <w:shd w:val="clear" w:color="auto" w:fill="FFFFFF"/>
        </w:rPr>
        <w:tab/>
        <w:t xml:space="preserve">201 </w:t>
      </w:r>
    </w:p>
    <w:p w14:paraId="08D745C7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59C9AE4" w14:textId="77777777" w:rsidR="00DC7A18" w:rsidRPr="00DC7A18" w:rsidRDefault="00DC7A18" w:rsidP="00DC7A18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20B30D8" w14:textId="73A61E2B" w:rsidR="00347C9C" w:rsidRDefault="00347C9C" w:rsidP="00DC7A18"/>
    <w:p w14:paraId="46E03AD3" w14:textId="47B78C40" w:rsidR="00DC7A18" w:rsidRDefault="00DC7A18" w:rsidP="00DC7A18"/>
    <w:p w14:paraId="678C5328" w14:textId="0D5F128E" w:rsidR="00DC7A18" w:rsidRDefault="00DC7A18" w:rsidP="00DC7A18"/>
    <w:p w14:paraId="75B2F5FD" w14:textId="77777777" w:rsidR="00DC7A18" w:rsidRDefault="00DC7A18" w:rsidP="00DC7A18">
      <w:pPr>
        <w:pStyle w:val="145"/>
        <w:shd w:val="clear" w:color="auto" w:fill="auto"/>
        <w:spacing w:after="486" w:line="280" w:lineRule="exact"/>
      </w:pPr>
      <w:bookmarkStart w:id="0" w:name="bookmark124"/>
      <w:r>
        <w:rPr>
          <w:rStyle w:val="144"/>
          <w:b/>
          <w:bCs/>
          <w:color w:val="000000"/>
        </w:rPr>
        <w:t>ЗАКЛЮЧЕНИЕ</w:t>
      </w:r>
      <w:bookmarkEnd w:id="0"/>
    </w:p>
    <w:p w14:paraId="6D93EC4F" w14:textId="77777777" w:rsidR="00DC7A18" w:rsidRDefault="00DC7A18" w:rsidP="00DC7A18">
      <w:pPr>
        <w:pStyle w:val="210"/>
        <w:shd w:val="clear" w:color="auto" w:fill="auto"/>
        <w:spacing w:before="0"/>
        <w:ind w:firstLine="720"/>
        <w:jc w:val="both"/>
      </w:pPr>
      <w:r>
        <w:rPr>
          <w:rStyle w:val="21"/>
          <w:color w:val="000000"/>
        </w:rPr>
        <w:t xml:space="preserve">Требования к электромагнитной совместимости электроподвижного состава и рельсовых цепей в последнее время значительно возросли в связи с широким использованием на перспективных электровозах достижений </w:t>
      </w:r>
      <w:proofErr w:type="spellStart"/>
      <w:r>
        <w:rPr>
          <w:rStyle w:val="21"/>
          <w:color w:val="000000"/>
        </w:rPr>
        <w:t>научно</w:t>
      </w:r>
      <w:r>
        <w:rPr>
          <w:rStyle w:val="21"/>
          <w:color w:val="000000"/>
        </w:rPr>
        <w:softHyphen/>
        <w:t>технического</w:t>
      </w:r>
      <w:proofErr w:type="spellEnd"/>
      <w:r>
        <w:rPr>
          <w:rStyle w:val="21"/>
          <w:color w:val="000000"/>
        </w:rPr>
        <w:t xml:space="preserve"> прогресса. Дополнительные сложности вызваны высокой плотностью компоновки оборудования на подвижном составе, где силовые устройства и системы управления располагаются рядом; движением тягового подвижного состава вблизи устройств связи и сигнализации, а также трассировкой линий связи и СЦБ параллельно контактной сети. Все эти факторы обусловили принятие на железных дорогах особо жестких норм к уровням помех, генерируемых тяговыми преобразователями электровозов.</w:t>
      </w:r>
    </w:p>
    <w:p w14:paraId="5EDD8736" w14:textId="77777777" w:rsidR="00DC7A18" w:rsidRDefault="00DC7A18" w:rsidP="00DC7A18">
      <w:pPr>
        <w:pStyle w:val="210"/>
        <w:shd w:val="clear" w:color="auto" w:fill="auto"/>
        <w:tabs>
          <w:tab w:val="left" w:pos="4130"/>
          <w:tab w:val="left" w:pos="8009"/>
        </w:tabs>
        <w:spacing w:before="0"/>
        <w:ind w:firstLine="720"/>
        <w:jc w:val="both"/>
      </w:pPr>
      <w:r>
        <w:rPr>
          <w:rStyle w:val="21"/>
          <w:color w:val="000000"/>
        </w:rPr>
        <w:t>Роль электромагнитной совместимости значительно возросла в связи с использованием на электроподвижном составе компьютерных систем управления и полупроводниковых преобразователей большой мощности. Тяговые преобразователи возбуждают в питающей их сети мешающие токи, которые через рельсы и контактную сеть передаются на тяговую подстанцию. Эти помехи содержат частоты от нескольких герц до 10 кГц. Они могут оказывать мешающее и опасное влияние на работу устройств СЦБ и связи, расположенных в зоне рельсов, особенно на рельсовые цепи, устройства автоматической локомотивной</w:t>
      </w:r>
      <w:r>
        <w:rPr>
          <w:rStyle w:val="21"/>
          <w:color w:val="000000"/>
        </w:rPr>
        <w:tab/>
        <w:t>сигнализации и приборы</w:t>
      </w:r>
      <w:r>
        <w:rPr>
          <w:rStyle w:val="21"/>
          <w:color w:val="000000"/>
        </w:rPr>
        <w:tab/>
        <w:t>системы</w:t>
      </w:r>
    </w:p>
    <w:p w14:paraId="73990DD6" w14:textId="77777777" w:rsidR="00DC7A18" w:rsidRDefault="00DC7A18" w:rsidP="00DC7A18">
      <w:pPr>
        <w:pStyle w:val="210"/>
        <w:shd w:val="clear" w:color="auto" w:fill="auto"/>
        <w:spacing w:before="0"/>
        <w:jc w:val="both"/>
      </w:pPr>
      <w:r>
        <w:rPr>
          <w:rStyle w:val="21"/>
          <w:color w:val="000000"/>
        </w:rPr>
        <w:lastRenderedPageBreak/>
        <w:t>автоматического управления движением поездов.</w:t>
      </w:r>
    </w:p>
    <w:p w14:paraId="51B4C82C" w14:textId="77777777" w:rsidR="00DC7A18" w:rsidRDefault="00DC7A18" w:rsidP="00DC7A18">
      <w:pPr>
        <w:pStyle w:val="210"/>
        <w:shd w:val="clear" w:color="auto" w:fill="auto"/>
        <w:tabs>
          <w:tab w:val="left" w:pos="4130"/>
          <w:tab w:val="left" w:pos="5779"/>
          <w:tab w:val="left" w:pos="8009"/>
        </w:tabs>
        <w:spacing w:before="0"/>
        <w:ind w:firstLine="720"/>
        <w:jc w:val="both"/>
      </w:pPr>
      <w:r>
        <w:rPr>
          <w:rStyle w:val="21"/>
          <w:color w:val="000000"/>
        </w:rPr>
        <w:t>Особенностью электроподвижного состава в отношении электромагнитной совместимости является близкое расположение элементов силовой электроники от устройств СЦБ и связи, работающих на индуктивном принципе. Крутизна фронта</w:t>
      </w:r>
      <w:r>
        <w:rPr>
          <w:rStyle w:val="21"/>
          <w:color w:val="000000"/>
        </w:rPr>
        <w:tab/>
        <w:t>импульсов</w:t>
      </w:r>
      <w:r>
        <w:rPr>
          <w:rStyle w:val="21"/>
          <w:color w:val="000000"/>
        </w:rPr>
        <w:tab/>
        <w:t>напряжения в</w:t>
      </w:r>
      <w:r>
        <w:rPr>
          <w:rStyle w:val="21"/>
          <w:color w:val="000000"/>
        </w:rPr>
        <w:tab/>
        <w:t>тяговых</w:t>
      </w:r>
    </w:p>
    <w:p w14:paraId="1F701C86" w14:textId="77777777" w:rsidR="00DC7A18" w:rsidRDefault="00DC7A18" w:rsidP="00DC7A18">
      <w:pPr>
        <w:pStyle w:val="210"/>
        <w:shd w:val="clear" w:color="auto" w:fill="auto"/>
        <w:spacing w:before="0"/>
        <w:jc w:val="both"/>
      </w:pPr>
      <w:r>
        <w:rPr>
          <w:rStyle w:val="21"/>
          <w:color w:val="000000"/>
        </w:rPr>
        <w:t xml:space="preserve">преобразователях, работающих на запираемых тиристорах, составляет 0,5 - 1 </w:t>
      </w:r>
      <w:proofErr w:type="spellStart"/>
      <w:r>
        <w:rPr>
          <w:rStyle w:val="21"/>
          <w:color w:val="000000"/>
        </w:rPr>
        <w:t>кВ</w:t>
      </w:r>
      <w:proofErr w:type="spellEnd"/>
      <w:r>
        <w:rPr>
          <w:rStyle w:val="21"/>
          <w:color w:val="000000"/>
        </w:rPr>
        <w:t xml:space="preserve">/мкс, а на биполярных транзисторах с изолированным затвором — от 3 до 10 </w:t>
      </w:r>
      <w:proofErr w:type="spellStart"/>
      <w:r>
        <w:rPr>
          <w:rStyle w:val="21"/>
          <w:color w:val="000000"/>
        </w:rPr>
        <w:t>кВ</w:t>
      </w:r>
      <w:proofErr w:type="spellEnd"/>
      <w:r>
        <w:rPr>
          <w:rStyle w:val="21"/>
          <w:color w:val="000000"/>
        </w:rPr>
        <w:t xml:space="preserve">/мкс. Крутизна импульсов тока составляет соответственно 3-300 и30 - 600 А/мкс. В промежуточном звене таких преобразователей напряжение постоянного тока может поддерживаться на уровне от 600 В до 2,8 </w:t>
      </w:r>
      <w:proofErr w:type="spellStart"/>
      <w:r>
        <w:rPr>
          <w:rStyle w:val="21"/>
          <w:color w:val="000000"/>
        </w:rPr>
        <w:t>кВ.</w:t>
      </w:r>
      <w:proofErr w:type="spellEnd"/>
      <w:r>
        <w:rPr>
          <w:rStyle w:val="21"/>
          <w:color w:val="000000"/>
        </w:rPr>
        <w:t xml:space="preserve"> В непосредственной близости от преобразователей и подключенных к ним тяговых двигателей, трансформаторов, тормозных резисторов и силовых кабелей должны надежно работать устройства систем СЦБ, рабочий уровень сигналов которых в зависимости от частоты лежит между несколькими амперами и миллиамперами.</w:t>
      </w:r>
    </w:p>
    <w:p w14:paraId="2B0300AC" w14:textId="77777777" w:rsidR="00DC7A18" w:rsidRDefault="00DC7A18" w:rsidP="00DC7A18">
      <w:pPr>
        <w:pStyle w:val="210"/>
        <w:shd w:val="clear" w:color="auto" w:fill="auto"/>
        <w:spacing w:before="0"/>
        <w:ind w:firstLine="700"/>
        <w:jc w:val="both"/>
      </w:pPr>
      <w:r>
        <w:rPr>
          <w:rStyle w:val="21"/>
          <w:color w:val="000000"/>
        </w:rPr>
        <w:t>В рамках диссертационной работы получены следующие основные научные и прикладные результаты.</w:t>
      </w:r>
    </w:p>
    <w:p w14:paraId="2D3D7E9B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40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Разработана модель распределения гармонических составляющих тягового тока в несимметричной рельсовой линии для рельсовых цепей без изолирующих стыков.</w:t>
      </w:r>
    </w:p>
    <w:p w14:paraId="2B2EDC06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40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Разработана методика определения мешающего влияния тягового тока на бесстыковые рельсовые цепи в несимметричной рельсовой линии.</w:t>
      </w:r>
    </w:p>
    <w:p w14:paraId="3FBB923E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45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Проведён анализ расчётных данных влияния тягового тока на тональные рельсовые цепи без изолирующих стыков.</w:t>
      </w:r>
    </w:p>
    <w:p w14:paraId="19E639FB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965"/>
          <w:tab w:val="left" w:pos="6498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 xml:space="preserve"> Разработана модель распределения постоянной составляющей </w:t>
      </w:r>
      <w:r>
        <w:rPr>
          <w:rStyle w:val="21"/>
          <w:color w:val="000000"/>
        </w:rPr>
        <w:lastRenderedPageBreak/>
        <w:t>тягового тока</w:t>
      </w:r>
      <w:r>
        <w:rPr>
          <w:rStyle w:val="21"/>
          <w:color w:val="000000"/>
        </w:rPr>
        <w:tab/>
        <w:t>в несимметричной рельсовой линии</w:t>
      </w:r>
      <w:r>
        <w:rPr>
          <w:rStyle w:val="21"/>
          <w:color w:val="000000"/>
        </w:rPr>
        <w:tab/>
        <w:t xml:space="preserve">для </w:t>
      </w:r>
      <w:proofErr w:type="spellStart"/>
      <w:r>
        <w:rPr>
          <w:rStyle w:val="21"/>
          <w:color w:val="000000"/>
        </w:rPr>
        <w:t>неразветвлённых</w:t>
      </w:r>
      <w:proofErr w:type="spellEnd"/>
    </w:p>
    <w:p w14:paraId="304B036A" w14:textId="77777777" w:rsidR="00DC7A18" w:rsidRDefault="00DC7A18" w:rsidP="00DC7A18">
      <w:pPr>
        <w:pStyle w:val="210"/>
        <w:shd w:val="clear" w:color="auto" w:fill="auto"/>
        <w:spacing w:before="0"/>
        <w:jc w:val="both"/>
      </w:pPr>
      <w:r>
        <w:rPr>
          <w:rStyle w:val="21"/>
          <w:color w:val="000000"/>
        </w:rPr>
        <w:t>рельсовых цепей с изолирующими стыками.</w:t>
      </w:r>
    </w:p>
    <w:p w14:paraId="48CEB9F2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Разработана методика определения мешающего влияния постоянной</w:t>
      </w:r>
    </w:p>
    <w:p w14:paraId="3DC05AD9" w14:textId="77777777" w:rsidR="00DC7A18" w:rsidRDefault="00DC7A18" w:rsidP="00DC7A18">
      <w:pPr>
        <w:pStyle w:val="210"/>
        <w:shd w:val="clear" w:color="auto" w:fill="auto"/>
        <w:tabs>
          <w:tab w:val="left" w:pos="1965"/>
          <w:tab w:val="left" w:pos="3042"/>
          <w:tab w:val="left" w:pos="4362"/>
          <w:tab w:val="right" w:pos="8998"/>
        </w:tabs>
        <w:spacing w:before="0"/>
        <w:jc w:val="both"/>
      </w:pPr>
      <w:r>
        <w:rPr>
          <w:rStyle w:val="21"/>
          <w:color w:val="000000"/>
        </w:rPr>
        <w:t>составляющей</w:t>
      </w:r>
      <w:r>
        <w:rPr>
          <w:rStyle w:val="21"/>
          <w:color w:val="000000"/>
        </w:rPr>
        <w:tab/>
        <w:t>тягового</w:t>
      </w:r>
      <w:r>
        <w:rPr>
          <w:rStyle w:val="21"/>
          <w:color w:val="000000"/>
        </w:rPr>
        <w:tab/>
        <w:t>тока на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неразветвлённые</w:t>
      </w:r>
      <w:proofErr w:type="spellEnd"/>
      <w:r>
        <w:rPr>
          <w:rStyle w:val="21"/>
          <w:color w:val="000000"/>
        </w:rPr>
        <w:t xml:space="preserve"> рельсовые цепи</w:t>
      </w:r>
      <w:r>
        <w:rPr>
          <w:rStyle w:val="21"/>
          <w:color w:val="000000"/>
        </w:rPr>
        <w:tab/>
        <w:t>с</w:t>
      </w:r>
    </w:p>
    <w:p w14:paraId="1769F9D2" w14:textId="77777777" w:rsidR="00DC7A18" w:rsidRDefault="00DC7A18" w:rsidP="00DC7A18">
      <w:pPr>
        <w:pStyle w:val="210"/>
        <w:shd w:val="clear" w:color="auto" w:fill="auto"/>
        <w:tabs>
          <w:tab w:val="left" w:pos="3085"/>
          <w:tab w:val="left" w:pos="4400"/>
          <w:tab w:val="right" w:pos="8998"/>
        </w:tabs>
        <w:spacing w:before="0"/>
        <w:jc w:val="both"/>
      </w:pPr>
      <w:r>
        <w:rPr>
          <w:rStyle w:val="21"/>
          <w:color w:val="000000"/>
        </w:rPr>
        <w:t>изолирующими стыками</w:t>
      </w:r>
      <w:r>
        <w:rPr>
          <w:rStyle w:val="21"/>
          <w:color w:val="000000"/>
        </w:rPr>
        <w:tab/>
        <w:t>с учётом</w:t>
      </w:r>
      <w:r>
        <w:rPr>
          <w:rStyle w:val="21"/>
          <w:color w:val="000000"/>
        </w:rPr>
        <w:tab/>
        <w:t>асимметрии первичных параметров</w:t>
      </w:r>
      <w:r>
        <w:rPr>
          <w:rStyle w:val="21"/>
          <w:color w:val="000000"/>
        </w:rPr>
        <w:tab/>
        <w:t>в</w:t>
      </w:r>
    </w:p>
    <w:p w14:paraId="57A1AF99" w14:textId="77777777" w:rsidR="00DC7A18" w:rsidRDefault="00DC7A18" w:rsidP="00DC7A18">
      <w:pPr>
        <w:pStyle w:val="210"/>
        <w:shd w:val="clear" w:color="auto" w:fill="auto"/>
        <w:spacing w:before="0"/>
        <w:jc w:val="both"/>
      </w:pPr>
      <w:r>
        <w:rPr>
          <w:rStyle w:val="21"/>
          <w:color w:val="000000"/>
        </w:rPr>
        <w:t>рельсовой линии.</w:t>
      </w:r>
    </w:p>
    <w:p w14:paraId="70DA7744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40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Проведён анализ влияния постоянной составляющей тягового тока на приёмные устройства рельсовых цепей с изолирующими стыками.</w:t>
      </w:r>
    </w:p>
    <w:p w14:paraId="081E611F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 xml:space="preserve"> Разработана модель распределения переменной составляющей тягового тока в несимметричной рельсовой линии для </w:t>
      </w:r>
      <w:proofErr w:type="spellStart"/>
      <w:r>
        <w:rPr>
          <w:rStyle w:val="21"/>
          <w:color w:val="000000"/>
        </w:rPr>
        <w:t>неразветвлённых</w:t>
      </w:r>
      <w:proofErr w:type="spellEnd"/>
      <w:r>
        <w:rPr>
          <w:rStyle w:val="21"/>
          <w:color w:val="000000"/>
        </w:rPr>
        <w:t xml:space="preserve"> рельсовых цепей с изолирующими стыками.</w:t>
      </w:r>
    </w:p>
    <w:p w14:paraId="108087A7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0" w:line="480" w:lineRule="exact"/>
        <w:ind w:firstLine="700"/>
        <w:jc w:val="both"/>
      </w:pPr>
      <w:r>
        <w:rPr>
          <w:rStyle w:val="21"/>
          <w:color w:val="000000"/>
        </w:rPr>
        <w:t>Разработана методика определения мешающего влияния переменной</w:t>
      </w:r>
    </w:p>
    <w:p w14:paraId="2DE0DDA6" w14:textId="77777777" w:rsidR="00DC7A18" w:rsidRDefault="00DC7A18" w:rsidP="00DC7A18">
      <w:pPr>
        <w:pStyle w:val="210"/>
        <w:shd w:val="clear" w:color="auto" w:fill="auto"/>
        <w:tabs>
          <w:tab w:val="left" w:pos="1965"/>
          <w:tab w:val="left" w:pos="3047"/>
          <w:tab w:val="left" w:pos="4362"/>
          <w:tab w:val="right" w:pos="8998"/>
        </w:tabs>
        <w:spacing w:before="0"/>
        <w:jc w:val="both"/>
      </w:pPr>
      <w:r>
        <w:rPr>
          <w:rStyle w:val="21"/>
          <w:color w:val="000000"/>
        </w:rPr>
        <w:t>составляющей</w:t>
      </w:r>
      <w:r>
        <w:rPr>
          <w:rStyle w:val="21"/>
          <w:color w:val="000000"/>
        </w:rPr>
        <w:tab/>
        <w:t>тягового</w:t>
      </w:r>
      <w:r>
        <w:rPr>
          <w:rStyle w:val="21"/>
          <w:color w:val="000000"/>
        </w:rPr>
        <w:tab/>
        <w:t>тока на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неразветвлённые</w:t>
      </w:r>
      <w:proofErr w:type="spellEnd"/>
      <w:r>
        <w:rPr>
          <w:rStyle w:val="21"/>
          <w:color w:val="000000"/>
        </w:rPr>
        <w:t xml:space="preserve"> рельсовые цепи</w:t>
      </w:r>
      <w:r>
        <w:rPr>
          <w:rStyle w:val="21"/>
          <w:color w:val="000000"/>
        </w:rPr>
        <w:tab/>
        <w:t>с изолирующими стыками с учётом асимметрии первичных параметров в рельсовой линии.</w:t>
      </w:r>
    </w:p>
    <w:p w14:paraId="26A3E3D3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069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Проведён анализ влияния переменной составляющей тягового тока на приёмные устройства </w:t>
      </w:r>
      <w:proofErr w:type="spellStart"/>
      <w:r>
        <w:rPr>
          <w:rStyle w:val="21"/>
          <w:color w:val="000000"/>
        </w:rPr>
        <w:t>неразветвлённых</w:t>
      </w:r>
      <w:proofErr w:type="spellEnd"/>
      <w:r>
        <w:rPr>
          <w:rStyle w:val="21"/>
          <w:color w:val="000000"/>
        </w:rPr>
        <w:t xml:space="preserve"> рельсовых цепей с изолирующими стыками.</w:t>
      </w:r>
    </w:p>
    <w:p w14:paraId="7867EA2B" w14:textId="77777777" w:rsidR="00DC7A18" w:rsidRDefault="00DC7A18" w:rsidP="00DC7A18">
      <w:pPr>
        <w:pStyle w:val="210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модель распределения гармонических составляющих тягового тока в несимметричной рельсовой линии для разветвлённых рельсовых цепей с изолирующими стыками, расположенными на станции.</w:t>
      </w:r>
    </w:p>
    <w:p w14:paraId="13579014" w14:textId="77777777" w:rsidR="00DC7A18" w:rsidRPr="00DC7A18" w:rsidRDefault="00DC7A18" w:rsidP="00DC7A18"/>
    <w:sectPr w:rsidR="00DC7A18" w:rsidRPr="00DC7A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80F9" w14:textId="77777777" w:rsidR="00445C94" w:rsidRDefault="00445C94">
      <w:pPr>
        <w:spacing w:after="0" w:line="240" w:lineRule="auto"/>
      </w:pPr>
      <w:r>
        <w:separator/>
      </w:r>
    </w:p>
  </w:endnote>
  <w:endnote w:type="continuationSeparator" w:id="0">
    <w:p w14:paraId="152EE298" w14:textId="77777777" w:rsidR="00445C94" w:rsidRDefault="0044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819B" w14:textId="77777777" w:rsidR="00445C94" w:rsidRDefault="00445C94">
      <w:pPr>
        <w:spacing w:after="0" w:line="240" w:lineRule="auto"/>
      </w:pPr>
      <w:r>
        <w:separator/>
      </w:r>
    </w:p>
  </w:footnote>
  <w:footnote w:type="continuationSeparator" w:id="0">
    <w:p w14:paraId="53F77C4D" w14:textId="77777777" w:rsidR="00445C94" w:rsidRDefault="0044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5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8"/>
  </w:num>
  <w:num w:numId="2">
    <w:abstractNumId w:val="27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7"/>
  </w:num>
  <w:num w:numId="17">
    <w:abstractNumId w:val="33"/>
  </w:num>
  <w:num w:numId="18">
    <w:abstractNumId w:val="26"/>
  </w:num>
  <w:num w:numId="19">
    <w:abstractNumId w:val="29"/>
  </w:num>
  <w:num w:numId="20">
    <w:abstractNumId w:val="24"/>
  </w:num>
  <w:num w:numId="21">
    <w:abstractNumId w:val="25"/>
  </w:num>
  <w:num w:numId="22">
    <w:abstractNumId w:val="12"/>
  </w:num>
  <w:num w:numId="23">
    <w:abstractNumId w:val="13"/>
  </w:num>
  <w:num w:numId="24">
    <w:abstractNumId w:val="11"/>
  </w:num>
  <w:num w:numId="25">
    <w:abstractNumId w:val="32"/>
  </w:num>
  <w:num w:numId="26">
    <w:abstractNumId w:val="34"/>
  </w:num>
  <w:num w:numId="27">
    <w:abstractNumId w:val="35"/>
  </w:num>
  <w:num w:numId="28">
    <w:abstractNumId w:val="36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  <w:num w:numId="35">
    <w:abstractNumId w:val="22"/>
  </w:num>
  <w:num w:numId="36">
    <w:abstractNumId w:val="23"/>
  </w:num>
  <w:num w:numId="37">
    <w:abstractNumId w:val="30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5C94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132514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6762</cp:revision>
  <dcterms:created xsi:type="dcterms:W3CDTF">2024-06-20T08:51:00Z</dcterms:created>
  <dcterms:modified xsi:type="dcterms:W3CDTF">2025-02-01T20:42:00Z</dcterms:modified>
  <cp:category/>
</cp:coreProperties>
</file>