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7A43" w14:textId="600D80C7" w:rsidR="005542FE" w:rsidRPr="005077E7" w:rsidRDefault="005077E7" w:rsidP="005077E7">
      <w:r>
        <w:rPr>
          <w:rFonts w:ascii="Verdana" w:hAnsi="Verdana"/>
          <w:b/>
          <w:bCs/>
          <w:color w:val="000000"/>
          <w:shd w:val="clear" w:color="auto" w:fill="FFFFFF"/>
        </w:rPr>
        <w:t>Лам Марина Матвіївна. Патогенетичне обгрунтування корекції порушень метаболізму арахідонової кислоти при ренальних дисфункціях, що розвиваються після опіку шкіри в щурів з різною індивідуальною реактивністю : Дис... канд. мед. наук: 14.03.04 / Донецький держ. медичний ун-т ім. М.Горького. — Донецьк, 2006. — 185арк. — Бібліогр.: арк. 161-185.</w:t>
      </w:r>
    </w:p>
    <w:sectPr w:rsidR="005542FE" w:rsidRPr="005077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D353" w14:textId="77777777" w:rsidR="006C50F6" w:rsidRDefault="006C50F6">
      <w:pPr>
        <w:spacing w:after="0" w:line="240" w:lineRule="auto"/>
      </w:pPr>
      <w:r>
        <w:separator/>
      </w:r>
    </w:p>
  </w:endnote>
  <w:endnote w:type="continuationSeparator" w:id="0">
    <w:p w14:paraId="3987174F" w14:textId="77777777" w:rsidR="006C50F6" w:rsidRDefault="006C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18FE" w14:textId="77777777" w:rsidR="006C50F6" w:rsidRDefault="006C50F6">
      <w:pPr>
        <w:spacing w:after="0" w:line="240" w:lineRule="auto"/>
      </w:pPr>
      <w:r>
        <w:separator/>
      </w:r>
    </w:p>
  </w:footnote>
  <w:footnote w:type="continuationSeparator" w:id="0">
    <w:p w14:paraId="26D9D6A1" w14:textId="77777777" w:rsidR="006C50F6" w:rsidRDefault="006C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0F6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133567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6952</cp:revision>
  <dcterms:created xsi:type="dcterms:W3CDTF">2024-06-20T08:51:00Z</dcterms:created>
  <dcterms:modified xsi:type="dcterms:W3CDTF">2025-02-03T18:07:00Z</dcterms:modified>
  <cp:category/>
</cp:coreProperties>
</file>