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C451" w14:textId="21F9F802" w:rsidR="0070287D" w:rsidRDefault="00250E9B" w:rsidP="00250E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Калінкін Віталій Павлович. Застосування специфічної імунотерапії в протирецидивному лікуванні хворих на поліпозний риносинуїт в поєднанні з цілорічним алергічним ринітом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7977EEF4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Калінкін В.П. </w:t>
      </w:r>
      <w:r w:rsidRPr="00250E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Застосування</w:t>
      </w:r>
      <w:r w:rsidRPr="00250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250E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специфічної імунотерапії в протирецидивному лікуванні хворих на поліпозний риносинуїт в поєднанні з цілорічним алергічним ринітом. – Рукопис.</w:t>
      </w:r>
    </w:p>
    <w:p w14:paraId="09170A25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АМН України, Київ, 2006.</w:t>
      </w:r>
    </w:p>
    <w:p w14:paraId="53ECD886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обґрунтуванню та розробці нового методу лікування хворих на поліпозний риносинуїт на фоні цілорічного алергічного риніту з використанням специфічної імунотерапії, базуючись на вивченні патогенетичних ланок цього захворювання.</w:t>
      </w:r>
    </w:p>
    <w:p w14:paraId="403B7787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 динамічні зміни клініко-лабораторних показників у хворих з цим захворюванням в процесі проведення запропонованого методу лікування.</w:t>
      </w:r>
    </w:p>
    <w:p w14:paraId="446550A2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нормалізуючий вплив специфічної імунотерапії на баланс аеробної та анаеробної фаз біологічного окислення в нейтрофілах крові і носового секрета, на функціональну активність Т-лімфоцитів, а також посилення рухової активності миготливого епітелію слизової оболонки порожнини носа. Клінічними, імунологічними та цитохімічними методами доведена висока ефективність комплексного застосування (в комбінації з топічними кортикостероїдами) специфічної імунотерапії при лікуванні хворих на поліпозний риносинуїт в поєднанні з цілорічним алергічним ринітом.</w:t>
      </w:r>
    </w:p>
    <w:p w14:paraId="7DD3217A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Позитивні результати досліджень дозволяють запропонувати для протирецидивного лікування хворих з вказаною патологією специфічну імунотерапію за допомогою драже чи підшкірного введення алергенів в післяопераційному періоді для стабілізації клінічного ефекту і подовження періоду ремісії.</w:t>
      </w:r>
    </w:p>
    <w:p w14:paraId="27B8423A" w14:textId="77777777" w:rsidR="00250E9B" w:rsidRPr="00250E9B" w:rsidRDefault="00250E9B" w:rsidP="00250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E9B">
        <w:rPr>
          <w:rFonts w:ascii="Times New Roman" w:eastAsia="Times New Roman" w:hAnsi="Times New Roman" w:cs="Times New Roman"/>
          <w:color w:val="000000"/>
          <w:sz w:val="27"/>
          <w:szCs w:val="27"/>
        </w:rPr>
        <w:t>Даний метод протирецидивного лікування хворих з вказаною патологією виявив себе як високоефективний і може застосовуватись як в стаціонарних, так і в амбулаторних умовах.</w:t>
      </w:r>
    </w:p>
    <w:p w14:paraId="3B240E6D" w14:textId="77777777" w:rsidR="00250E9B" w:rsidRPr="00250E9B" w:rsidRDefault="00250E9B" w:rsidP="00250E9B"/>
    <w:sectPr w:rsidR="00250E9B" w:rsidRPr="00250E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72A9" w14:textId="77777777" w:rsidR="0062556E" w:rsidRDefault="0062556E">
      <w:pPr>
        <w:spacing w:after="0" w:line="240" w:lineRule="auto"/>
      </w:pPr>
      <w:r>
        <w:separator/>
      </w:r>
    </w:p>
  </w:endnote>
  <w:endnote w:type="continuationSeparator" w:id="0">
    <w:p w14:paraId="4727B1EB" w14:textId="77777777" w:rsidR="0062556E" w:rsidRDefault="0062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06D4" w14:textId="77777777" w:rsidR="0062556E" w:rsidRDefault="0062556E">
      <w:pPr>
        <w:spacing w:after="0" w:line="240" w:lineRule="auto"/>
      </w:pPr>
      <w:r>
        <w:separator/>
      </w:r>
    </w:p>
  </w:footnote>
  <w:footnote w:type="continuationSeparator" w:id="0">
    <w:p w14:paraId="75AF28DF" w14:textId="77777777" w:rsidR="0062556E" w:rsidRDefault="0062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55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56E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130100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6164</cp:revision>
  <dcterms:created xsi:type="dcterms:W3CDTF">2024-06-20T08:51:00Z</dcterms:created>
  <dcterms:modified xsi:type="dcterms:W3CDTF">2025-01-29T07:09:00Z</dcterms:modified>
  <cp:category/>
</cp:coreProperties>
</file>