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5225C" w14:textId="77777777" w:rsidR="00D37BBF" w:rsidRDefault="00D37BBF" w:rsidP="00D37BBF">
      <w:pPr>
        <w:pStyle w:val="afffffffffffffffffffffffffff5"/>
        <w:rPr>
          <w:rFonts w:ascii="Verdana" w:hAnsi="Verdana"/>
          <w:color w:val="000000"/>
          <w:sz w:val="21"/>
          <w:szCs w:val="21"/>
        </w:rPr>
      </w:pPr>
      <w:r>
        <w:rPr>
          <w:rFonts w:ascii="Helvetica" w:hAnsi="Helvetica" w:cs="Helvetica"/>
          <w:b/>
          <w:bCs w:val="0"/>
          <w:color w:val="222222"/>
          <w:sz w:val="21"/>
          <w:szCs w:val="21"/>
        </w:rPr>
        <w:t>Кирпичников, Александр Петрович.</w:t>
      </w:r>
    </w:p>
    <w:p w14:paraId="5A3406DA" w14:textId="77777777" w:rsidR="00D37BBF" w:rsidRDefault="00D37BBF" w:rsidP="00D37BBF">
      <w:pPr>
        <w:pStyle w:val="20"/>
        <w:spacing w:before="0" w:after="312"/>
        <w:rPr>
          <w:rFonts w:ascii="Arial" w:hAnsi="Arial" w:cs="Arial"/>
          <w:caps/>
          <w:color w:val="333333"/>
          <w:sz w:val="27"/>
          <w:szCs w:val="27"/>
        </w:rPr>
      </w:pPr>
      <w:r>
        <w:rPr>
          <w:rFonts w:ascii="Helvetica" w:hAnsi="Helvetica" w:cs="Helvetica"/>
          <w:caps/>
          <w:color w:val="222222"/>
          <w:sz w:val="21"/>
          <w:szCs w:val="21"/>
        </w:rPr>
        <w:t>Численное моделирование коллапса и турбулентности колебаний плазмы вблизи нижнего гибридного резонанса : диссертация ... кандидата физико-математических наук : 01.04.02. - Москва, 1985. - 161 с. : ил.</w:t>
      </w:r>
    </w:p>
    <w:p w14:paraId="18F7B476" w14:textId="77777777" w:rsidR="00D37BBF" w:rsidRDefault="00D37BBF" w:rsidP="00D37BBF">
      <w:pPr>
        <w:pStyle w:val="20"/>
        <w:spacing w:before="0" w:after="312"/>
        <w:rPr>
          <w:rFonts w:ascii="Arial" w:hAnsi="Arial" w:cs="Arial"/>
          <w:caps/>
          <w:color w:val="333333"/>
          <w:sz w:val="27"/>
          <w:szCs w:val="27"/>
        </w:rPr>
      </w:pPr>
      <w:r>
        <w:rPr>
          <w:rFonts w:ascii="Arial" w:hAnsi="Arial" w:cs="Arial"/>
          <w:caps/>
          <w:color w:val="333333"/>
          <w:sz w:val="27"/>
          <w:szCs w:val="27"/>
        </w:rPr>
        <w:t>Введение диссертации (часть автореферата)</w:t>
      </w:r>
      <w:r>
        <w:rPr>
          <w:rFonts w:ascii="Arial" w:hAnsi="Arial" w:cs="Arial"/>
          <w:color w:val="646B71"/>
          <w:sz w:val="18"/>
          <w:szCs w:val="18"/>
        </w:rPr>
        <w:t>на тему «Численное моделирование коллапса и турбулентности колебаний плазмы вблизи нижнего гибридного резонанса»</w:t>
      </w:r>
    </w:p>
    <w:p w14:paraId="71D2CF7B" w14:textId="77777777" w:rsidR="00D37BBF" w:rsidRDefault="00D37BBF" w:rsidP="00D37BBF">
      <w:pPr>
        <w:pStyle w:val="afffffffffffffffffffffffffff5"/>
        <w:spacing w:before="0" w:beforeAutospacing="0" w:after="312" w:afterAutospacing="0"/>
        <w:rPr>
          <w:rFonts w:ascii="Verdana" w:hAnsi="Verdana" w:cs="Times New Roman"/>
          <w:color w:val="000000"/>
          <w:sz w:val="21"/>
          <w:szCs w:val="21"/>
        </w:rPr>
      </w:pPr>
      <w:r>
        <w:rPr>
          <w:rFonts w:ascii="Verdana" w:hAnsi="Verdana"/>
          <w:color w:val="000000"/>
          <w:sz w:val="21"/>
          <w:szCs w:val="21"/>
        </w:rPr>
        <w:t>Диссертация посвящена численному исследованию проблем сильной турбулентности колебаний магнитоактивной плазмы вблизи частоты нижнего гибридного резонанса.</w:t>
      </w:r>
    </w:p>
    <w:p w14:paraId="3F6E9FDD" w14:textId="77777777" w:rsidR="00D37BBF" w:rsidRDefault="00D37BBF" w:rsidP="00D37BB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Выбор темы определен следующими основными обстоятельствами. Исследование сильно нелинейных явлений в плазме, приводящих к появлению особенностей в поведении электромагнитных полей и плотности плазмы, в настоящее время привлекает значительное внимание. Одним из них является ленгмюровский коллапс [1,2] и связанная с ним сильная турбулентность ленгмюровских колебаний [ 3,4] . Эти явления сейчас исследованы подробно, и здесь хотелось бы отметить только тот факт, что коллапс ленгмюровских колебаний возможен в силу закона дисперсии ленгмюровских колебаний с^ . + ") (I) где = ^ ~ электронная лонгмюровская частота плазмы; ( - радиус дебаевского экранирования; та -Г</w:t>
      </w:r>
    </w:p>
    <w:p w14:paraId="11F7B6A2" w14:textId="77777777" w:rsidR="00D37BBF" w:rsidRDefault="00D37BBF" w:rsidP="00D37BB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Со и \с- - частота и волновое число колебаний; Уп,^ и масса и температура электронов плазмы.</w:t>
      </w:r>
    </w:p>
    <w:p w14:paraId="6726140E" w14:textId="77777777" w:rsidR="00D37BBF" w:rsidRDefault="00D37BBF" w:rsidP="00D37BB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Из (I) следует, что если в плазме имеется интенсивный газ плазмонов, то в областях повышенной интенсивности плазмонов возникают ямки плотности плазмы, играющие роль потенциальных ям для плазмонов. При этом происходит накопление плазмонов в этих ямках, приводящее к ещё большему их углублению с одновременным уменьшением их пространственных размеров.</w:t>
      </w:r>
    </w:p>
    <w:p w14:paraId="3ADC478F" w14:textId="77777777" w:rsidR="00D37BBF" w:rsidRDefault="00D37BBF" w:rsidP="00D37BB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Физический смысл модуляционной неустойчивости состоит в том, что при случайном возрастании локальной плотности энергии шумов VI усреднённая сила -У &amp;—Ь—0 (так называ</w:t>
      </w:r>
    </w:p>
    <w:p w14:paraId="2FB2170F" w14:textId="77777777" w:rsidR="00D37BBF" w:rsidRDefault="00D37BBF" w:rsidP="00D37BB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7 Ьул,^1емая сила Миллера [ 51 ), дейтвующая на электроны плазмы, выталкивает их из области локализации. Поле разделения зарядов вытяги^ вает и ионы, так что образуется минимум плотности плазмы, в котором заперты ленгмюровекие шумы. В следствие этого появляются каверны, в которых максимуму поля соответствует минимум плотности. В соответствии с законом дисперсии (I) сила, действующая на плаз-моны §</w:t>
      </w:r>
      <w:r>
        <w:rPr>
          <w:rFonts w:ascii="Arial" w:hAnsi="Arial" w:cs="Arial"/>
          <w:color w:val="000000"/>
          <w:sz w:val="21"/>
          <w:szCs w:val="21"/>
        </w:rPr>
        <w:t>■</w:t>
      </w:r>
      <w:r>
        <w:rPr>
          <w:rFonts w:ascii="Verdana" w:hAnsi="Verdana"/>
          <w:color w:val="000000"/>
          <w:sz w:val="21"/>
          <w:szCs w:val="21"/>
        </w:rPr>
        <w:t xml:space="preserve"> - </w:t>
      </w:r>
      <w:r>
        <w:rPr>
          <w:rFonts w:ascii="Verdana" w:hAnsi="Verdana" w:cs="Verdana"/>
          <w:color w:val="000000"/>
          <w:sz w:val="21"/>
          <w:szCs w:val="21"/>
        </w:rPr>
        <w:lastRenderedPageBreak/>
        <w:t>с</w:t>
      </w:r>
      <w:r>
        <w:rPr>
          <w:rFonts w:ascii="Verdana" w:hAnsi="Verdana"/>
          <w:color w:val="000000"/>
          <w:sz w:val="21"/>
          <w:szCs w:val="21"/>
        </w:rPr>
        <w:t>11</w:t>
      </w:r>
      <w:r>
        <w:rPr>
          <w:rFonts w:ascii="Verdana" w:hAnsi="Verdana" w:cs="Verdana"/>
          <w:color w:val="000000"/>
          <w:sz w:val="21"/>
          <w:szCs w:val="21"/>
        </w:rPr>
        <w:t>с</w:t>
      </w:r>
      <w:r>
        <w:rPr>
          <w:rFonts w:ascii="Verdana" w:hAnsi="Verdana"/>
          <w:color w:val="000000"/>
          <w:sz w:val="21"/>
          <w:szCs w:val="21"/>
        </w:rPr>
        <w:t xml:space="preserve"> </w:t>
      </w:r>
      <w:r>
        <w:rPr>
          <w:rFonts w:ascii="Verdana" w:hAnsi="Verdana" w:cs="Verdana"/>
          <w:color w:val="000000"/>
          <w:sz w:val="21"/>
          <w:szCs w:val="21"/>
        </w:rPr>
        <w:t>е</w:t>
      </w:r>
      <w:r>
        <w:rPr>
          <w:rFonts w:ascii="Verdana" w:hAnsi="Verdana"/>
          <w:color w:val="000000"/>
          <w:sz w:val="21"/>
          <w:szCs w:val="21"/>
        </w:rPr>
        <w:t>-'</w:t>
      </w:r>
      <w:r>
        <w:rPr>
          <w:rFonts w:ascii="Verdana" w:hAnsi="Verdana" w:cs="Verdana"/>
          <w:color w:val="000000"/>
          <w:sz w:val="21"/>
          <w:szCs w:val="21"/>
        </w:rPr>
        <w:t>Эс</w:t>
      </w:r>
      <w:r>
        <w:rPr>
          <w:rFonts w:ascii="Verdana" w:hAnsi="Verdana"/>
          <w:color w:val="000000"/>
          <w:sz w:val="21"/>
          <w:szCs w:val="21"/>
        </w:rPr>
        <w:t>^</w:t>
      </w:r>
      <w:r>
        <w:rPr>
          <w:rFonts w:ascii="Verdana" w:hAnsi="Verdana" w:cs="Verdana"/>
          <w:color w:val="000000"/>
          <w:sz w:val="21"/>
          <w:szCs w:val="21"/>
        </w:rPr>
        <w:t>сОО</w:t>
      </w:r>
      <w:r>
        <w:rPr>
          <w:rFonts w:ascii="Verdana" w:hAnsi="Verdana"/>
          <w:color w:val="000000"/>
          <w:sz w:val="21"/>
          <w:szCs w:val="21"/>
        </w:rPr>
        <w:t>/</w:t>
      </w:r>
      <w:r>
        <w:rPr>
          <w:rFonts w:ascii="Verdana" w:hAnsi="Verdana" w:cs="Verdana"/>
          <w:color w:val="000000"/>
          <w:sz w:val="21"/>
          <w:szCs w:val="21"/>
        </w:rPr>
        <w:t>ЗъГ</w:t>
      </w:r>
      <w:r>
        <w:rPr>
          <w:rFonts w:ascii="Verdana" w:hAnsi="Verdana"/>
          <w:color w:val="000000"/>
          <w:sz w:val="21"/>
          <w:szCs w:val="21"/>
        </w:rPr>
        <w:t xml:space="preserve">, </w:t>
      </w:r>
      <w:r>
        <w:rPr>
          <w:rFonts w:ascii="Verdana" w:hAnsi="Verdana" w:cs="Verdana"/>
          <w:color w:val="000000"/>
          <w:sz w:val="21"/>
          <w:szCs w:val="21"/>
        </w:rPr>
        <w:t>направлена</w:t>
      </w:r>
      <w:r>
        <w:rPr>
          <w:rFonts w:ascii="Verdana" w:hAnsi="Verdana"/>
          <w:color w:val="000000"/>
          <w:sz w:val="21"/>
          <w:szCs w:val="21"/>
        </w:rPr>
        <w:t xml:space="preserve"> </w:t>
      </w:r>
      <w:r>
        <w:rPr>
          <w:rFonts w:ascii="Verdana" w:hAnsi="Verdana" w:cs="Verdana"/>
          <w:color w:val="000000"/>
          <w:sz w:val="21"/>
          <w:szCs w:val="21"/>
        </w:rPr>
        <w:t>к</w:t>
      </w:r>
      <w:r>
        <w:rPr>
          <w:rFonts w:ascii="Verdana" w:hAnsi="Verdana"/>
          <w:color w:val="000000"/>
          <w:sz w:val="21"/>
          <w:szCs w:val="21"/>
        </w:rPr>
        <w:t xml:space="preserve"> </w:t>
      </w:r>
      <w:r>
        <w:rPr>
          <w:rFonts w:ascii="Verdana" w:hAnsi="Verdana" w:cs="Verdana"/>
          <w:color w:val="000000"/>
          <w:sz w:val="21"/>
          <w:szCs w:val="21"/>
        </w:rPr>
        <w:t>центру</w:t>
      </w:r>
      <w:r>
        <w:rPr>
          <w:rFonts w:ascii="Verdana" w:hAnsi="Verdana"/>
          <w:color w:val="000000"/>
          <w:sz w:val="21"/>
          <w:szCs w:val="21"/>
        </w:rPr>
        <w:t xml:space="preserve"> </w:t>
      </w:r>
      <w:r>
        <w:rPr>
          <w:rFonts w:ascii="Verdana" w:hAnsi="Verdana" w:cs="Verdana"/>
          <w:color w:val="000000"/>
          <w:sz w:val="21"/>
          <w:szCs w:val="21"/>
        </w:rPr>
        <w:t>ямы</w:t>
      </w:r>
      <w:r>
        <w:rPr>
          <w:rFonts w:ascii="Verdana" w:hAnsi="Verdana"/>
          <w:color w:val="000000"/>
          <w:sz w:val="21"/>
          <w:szCs w:val="21"/>
        </w:rPr>
        <w:t xml:space="preserve">, </w:t>
      </w:r>
      <w:r>
        <w:rPr>
          <w:rFonts w:ascii="Verdana" w:hAnsi="Verdana" w:cs="Verdana"/>
          <w:color w:val="000000"/>
          <w:sz w:val="21"/>
          <w:szCs w:val="21"/>
        </w:rPr>
        <w:t>а</w:t>
      </w:r>
      <w:r>
        <w:rPr>
          <w:rFonts w:ascii="Verdana" w:hAnsi="Verdana"/>
          <w:color w:val="000000"/>
          <w:sz w:val="21"/>
          <w:szCs w:val="21"/>
        </w:rPr>
        <w:t xml:space="preserve"> </w:t>
      </w:r>
      <w:r>
        <w:rPr>
          <w:rFonts w:ascii="Verdana" w:hAnsi="Verdana" w:cs="Verdana"/>
          <w:color w:val="000000"/>
          <w:sz w:val="21"/>
          <w:szCs w:val="21"/>
        </w:rPr>
        <w:t>значит</w:t>
      </w:r>
      <w:r>
        <w:rPr>
          <w:rFonts w:ascii="Verdana" w:hAnsi="Verdana"/>
          <w:color w:val="000000"/>
          <w:sz w:val="21"/>
          <w:szCs w:val="21"/>
        </w:rPr>
        <w:t xml:space="preserve">, </w:t>
      </w:r>
      <w:r>
        <w:rPr>
          <w:rFonts w:ascii="Verdana" w:hAnsi="Verdana" w:cs="Verdana"/>
          <w:color w:val="000000"/>
          <w:sz w:val="21"/>
          <w:szCs w:val="21"/>
        </w:rPr>
        <w:t>достаточно</w:t>
      </w:r>
      <w:r>
        <w:rPr>
          <w:rFonts w:ascii="Verdana" w:hAnsi="Verdana"/>
          <w:color w:val="000000"/>
          <w:sz w:val="21"/>
          <w:szCs w:val="21"/>
        </w:rPr>
        <w:t xml:space="preserve"> </w:t>
      </w:r>
      <w:r>
        <w:rPr>
          <w:rFonts w:ascii="Verdana" w:hAnsi="Verdana" w:cs="Verdana"/>
          <w:color w:val="000000"/>
          <w:sz w:val="21"/>
          <w:szCs w:val="21"/>
        </w:rPr>
        <w:t>медленные</w:t>
      </w:r>
      <w:r>
        <w:rPr>
          <w:rFonts w:ascii="Verdana" w:hAnsi="Verdana"/>
          <w:color w:val="000000"/>
          <w:sz w:val="21"/>
          <w:szCs w:val="21"/>
        </w:rPr>
        <w:t xml:space="preserve"> </w:t>
      </w:r>
      <w:r>
        <w:rPr>
          <w:rFonts w:ascii="Verdana" w:hAnsi="Verdana" w:cs="Verdana"/>
          <w:color w:val="000000"/>
          <w:sz w:val="21"/>
          <w:szCs w:val="21"/>
        </w:rPr>
        <w:t>плазмоны</w:t>
      </w:r>
      <w:r>
        <w:rPr>
          <w:rFonts w:ascii="Verdana" w:hAnsi="Verdana"/>
          <w:color w:val="000000"/>
          <w:sz w:val="21"/>
          <w:szCs w:val="21"/>
        </w:rPr>
        <w:t xml:space="preserve"> </w:t>
      </w:r>
      <w:r>
        <w:rPr>
          <w:rFonts w:ascii="Verdana" w:hAnsi="Verdana" w:cs="Verdana"/>
          <w:color w:val="000000"/>
          <w:sz w:val="21"/>
          <w:szCs w:val="21"/>
        </w:rPr>
        <w:t>захватываются</w:t>
      </w:r>
      <w:r>
        <w:rPr>
          <w:rFonts w:ascii="Verdana" w:hAnsi="Verdana"/>
          <w:color w:val="000000"/>
          <w:sz w:val="21"/>
          <w:szCs w:val="21"/>
        </w:rPr>
        <w:t xml:space="preserve"> </w:t>
      </w:r>
      <w:r>
        <w:rPr>
          <w:rFonts w:ascii="Verdana" w:hAnsi="Verdana" w:cs="Verdana"/>
          <w:color w:val="000000"/>
          <w:sz w:val="21"/>
          <w:szCs w:val="21"/>
        </w:rPr>
        <w:t>в</w:t>
      </w:r>
      <w:r>
        <w:rPr>
          <w:rFonts w:ascii="Verdana" w:hAnsi="Verdana"/>
          <w:color w:val="000000"/>
          <w:sz w:val="21"/>
          <w:szCs w:val="21"/>
        </w:rPr>
        <w:t xml:space="preserve"> </w:t>
      </w:r>
      <w:r>
        <w:rPr>
          <w:rFonts w:ascii="Verdana" w:hAnsi="Verdana" w:cs="Verdana"/>
          <w:color w:val="000000"/>
          <w:sz w:val="21"/>
          <w:szCs w:val="21"/>
        </w:rPr>
        <w:t>яцу</w:t>
      </w:r>
      <w:r>
        <w:rPr>
          <w:rFonts w:ascii="Verdana" w:hAnsi="Verdana"/>
          <w:color w:val="000000"/>
          <w:sz w:val="21"/>
          <w:szCs w:val="21"/>
        </w:rPr>
        <w:t xml:space="preserve">, </w:t>
      </w:r>
      <w:r>
        <w:rPr>
          <w:rFonts w:ascii="Verdana" w:hAnsi="Verdana" w:cs="Verdana"/>
          <w:color w:val="000000"/>
          <w:sz w:val="21"/>
          <w:szCs w:val="21"/>
        </w:rPr>
        <w:t>что</w:t>
      </w:r>
      <w:r>
        <w:rPr>
          <w:rFonts w:ascii="Verdana" w:hAnsi="Verdana"/>
          <w:color w:val="000000"/>
          <w:sz w:val="21"/>
          <w:szCs w:val="21"/>
        </w:rPr>
        <w:t xml:space="preserve">, </w:t>
      </w:r>
      <w:r>
        <w:rPr>
          <w:rFonts w:ascii="Verdana" w:hAnsi="Verdana" w:cs="Verdana"/>
          <w:color w:val="000000"/>
          <w:sz w:val="21"/>
          <w:szCs w:val="21"/>
        </w:rPr>
        <w:t>в</w:t>
      </w:r>
      <w:r>
        <w:rPr>
          <w:rFonts w:ascii="Verdana" w:hAnsi="Verdana"/>
          <w:color w:val="000000"/>
          <w:sz w:val="21"/>
          <w:szCs w:val="21"/>
        </w:rPr>
        <w:t xml:space="preserve"> свою очередь, увеличивает высокочастотное давление. Тем самым возрастает деформация профиля плотности, потенциальная яма для плаз-монов становится глубже, что приводит к дальнейшему росту локальной интенсивности ленгмюровских волн и высокочастотного давления. Коллапсом называется явление взрывного схлопывания образующихся при модуляционной неустойчивости каверн с плазмонами, при этом за конечное время каверны схлопываются до размеров, при которых становятся существенными процессы поглощения энергии из-за затухания Ландау или пересечения электронных траекторий 6-10 .</w:t>
      </w:r>
    </w:p>
    <w:p w14:paraId="5E2B79AE" w14:textId="77777777" w:rsidR="00D37BBF" w:rsidRDefault="00D37BBF" w:rsidP="00D37BB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Для порогового значения энергии колебаний, при которой становятся существенными нелинейные эффекты в развитии модуляционной неустойчивости, справедливо энергетическое соотношение а, где - тепловая скорость электронов, - потенциал волны. Воспользовавшись тем, что электрическое поле плазменной волны Е&lt;~ \с.Ср 5 отсюда получим следующее по порядку величины условие модуляционной неустойчивости ленгмюровских колебаний кН ^ (2)</w:t>
      </w:r>
    </w:p>
    <w:p w14:paraId="44E8033E" w14:textId="77777777" w:rsidR="00D37BBF" w:rsidRDefault="00D37BBF" w:rsidP="00D37BB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-4В плазме, помещённой в магнитное поле, наибольший интерес представляют нижнегибридные колебания с частотами, лежащими в интервале</w:t>
      </w:r>
    </w:p>
    <w:p w14:paraId="13D1451B" w14:textId="77777777" w:rsidR="00D37BBF" w:rsidRDefault="00D37BBF" w:rsidP="00D37BB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Г « сЗце. = уъ'с, ' ^Ие. = - соответственно ионная и электронная циклотронные часто</w:t>
      </w:r>
    </w:p>
    <w:p w14:paraId="69F09626" w14:textId="0210DA5D" w:rsidR="005E23AC" w:rsidRPr="00D37BBF" w:rsidRDefault="005E23AC" w:rsidP="00D37BBF"/>
    <w:sectPr w:rsidR="005E23AC" w:rsidRPr="00D37BB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15DBF" w14:textId="77777777" w:rsidR="00E279A9" w:rsidRDefault="00E279A9">
      <w:pPr>
        <w:spacing w:after="0" w:line="240" w:lineRule="auto"/>
      </w:pPr>
      <w:r>
        <w:separator/>
      </w:r>
    </w:p>
  </w:endnote>
  <w:endnote w:type="continuationSeparator" w:id="0">
    <w:p w14:paraId="7AB8AD4F" w14:textId="77777777" w:rsidR="00E279A9" w:rsidRDefault="00E27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A3432" w14:textId="77777777" w:rsidR="00E279A9" w:rsidRDefault="00E279A9"/>
    <w:p w14:paraId="1DA15E79" w14:textId="77777777" w:rsidR="00E279A9" w:rsidRDefault="00E279A9"/>
    <w:p w14:paraId="52B2089F" w14:textId="77777777" w:rsidR="00E279A9" w:rsidRDefault="00E279A9"/>
    <w:p w14:paraId="13018C3D" w14:textId="77777777" w:rsidR="00E279A9" w:rsidRDefault="00E279A9"/>
    <w:p w14:paraId="3D6DB6C9" w14:textId="77777777" w:rsidR="00E279A9" w:rsidRDefault="00E279A9"/>
    <w:p w14:paraId="350A0075" w14:textId="77777777" w:rsidR="00E279A9" w:rsidRDefault="00E279A9"/>
    <w:p w14:paraId="5BC04E43" w14:textId="77777777" w:rsidR="00E279A9" w:rsidRDefault="00E279A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C08EDC" wp14:editId="3A354A6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21FF9" w14:textId="77777777" w:rsidR="00E279A9" w:rsidRDefault="00E279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C08ED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421FF9" w14:textId="77777777" w:rsidR="00E279A9" w:rsidRDefault="00E279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873E4C" w14:textId="77777777" w:rsidR="00E279A9" w:rsidRDefault="00E279A9"/>
    <w:p w14:paraId="0E6DE146" w14:textId="77777777" w:rsidR="00E279A9" w:rsidRDefault="00E279A9"/>
    <w:p w14:paraId="2867F10E" w14:textId="77777777" w:rsidR="00E279A9" w:rsidRDefault="00E279A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73A836" wp14:editId="5508D6D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48DE8" w14:textId="77777777" w:rsidR="00E279A9" w:rsidRDefault="00E279A9"/>
                          <w:p w14:paraId="3D54F757" w14:textId="77777777" w:rsidR="00E279A9" w:rsidRDefault="00E279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73A83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D48DE8" w14:textId="77777777" w:rsidR="00E279A9" w:rsidRDefault="00E279A9"/>
                    <w:p w14:paraId="3D54F757" w14:textId="77777777" w:rsidR="00E279A9" w:rsidRDefault="00E279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976986" w14:textId="77777777" w:rsidR="00E279A9" w:rsidRDefault="00E279A9"/>
    <w:p w14:paraId="69B7FF70" w14:textId="77777777" w:rsidR="00E279A9" w:rsidRDefault="00E279A9">
      <w:pPr>
        <w:rPr>
          <w:sz w:val="2"/>
          <w:szCs w:val="2"/>
        </w:rPr>
      </w:pPr>
    </w:p>
    <w:p w14:paraId="52CF49A6" w14:textId="77777777" w:rsidR="00E279A9" w:rsidRDefault="00E279A9"/>
    <w:p w14:paraId="75493699" w14:textId="77777777" w:rsidR="00E279A9" w:rsidRDefault="00E279A9">
      <w:pPr>
        <w:spacing w:after="0" w:line="240" w:lineRule="auto"/>
      </w:pPr>
    </w:p>
  </w:footnote>
  <w:footnote w:type="continuationSeparator" w:id="0">
    <w:p w14:paraId="1E43B141" w14:textId="77777777" w:rsidR="00E279A9" w:rsidRDefault="00E27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9A9"/>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149105</TotalTime>
  <Pages>2</Pages>
  <Words>530</Words>
  <Characters>3021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4219</cp:revision>
  <cp:lastPrinted>2009-02-06T05:36:00Z</cp:lastPrinted>
  <dcterms:created xsi:type="dcterms:W3CDTF">2024-01-07T13:43:00Z</dcterms:created>
  <dcterms:modified xsi:type="dcterms:W3CDTF">2025-08-20T18:52:00Z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