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99" w:rsidRDefault="00210499" w:rsidP="0021049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Аторіна Вікторія Миколаївна, </w:t>
      </w:r>
      <w:r>
        <w:rPr>
          <w:rFonts w:ascii="CIDFont+F4" w:hAnsi="CIDFont+F4" w:cs="CIDFont+F4"/>
          <w:kern w:val="0"/>
          <w:sz w:val="28"/>
          <w:szCs w:val="28"/>
          <w:lang w:eastAsia="ru-RU"/>
        </w:rPr>
        <w:t>аспірантка Глухівського національного</w:t>
      </w:r>
    </w:p>
    <w:p w:rsidR="00210499" w:rsidRDefault="00210499" w:rsidP="0021049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педагогічного університету імені Олександра Довженка, тема дисертації:</w:t>
      </w:r>
    </w:p>
    <w:p w:rsidR="00210499" w:rsidRDefault="00210499" w:rsidP="0021049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«Розвиток естетичної компетентності майбутніх вихователів закладів</w:t>
      </w:r>
    </w:p>
    <w:p w:rsidR="00210499" w:rsidRDefault="00210499" w:rsidP="0021049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дошкільної освіти у фаховій підготовці», (011 Освітні, педагогічні науки).</w:t>
      </w:r>
    </w:p>
    <w:p w:rsidR="00210499" w:rsidRDefault="00210499" w:rsidP="00210499">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56.146.011 у Глухівському національному</w:t>
      </w:r>
    </w:p>
    <w:p w:rsidR="00805889" w:rsidRPr="00210499" w:rsidRDefault="00210499" w:rsidP="00210499">
      <w:r>
        <w:rPr>
          <w:rFonts w:ascii="CIDFont+F4" w:hAnsi="CIDFont+F4" w:cs="CIDFont+F4"/>
          <w:kern w:val="0"/>
          <w:sz w:val="28"/>
          <w:szCs w:val="28"/>
          <w:lang w:eastAsia="ru-RU"/>
        </w:rPr>
        <w:t>педагогічному університеті імені Олександра Довженка</w:t>
      </w:r>
    </w:p>
    <w:sectPr w:rsidR="00805889" w:rsidRPr="0021049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210499" w:rsidRPr="0021049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9AE4E-CDA5-46B8-BA6A-80E7FFC3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2021-10-31T15:16:00Z</dcterms:created>
  <dcterms:modified xsi:type="dcterms:W3CDTF">2021-10-31T15:39:00Z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