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A8358" w14:textId="77777777" w:rsidR="00D5157B" w:rsidRDefault="00D5157B" w:rsidP="00D5157B">
      <w:pPr>
        <w:pStyle w:val="afffffffffffffffffffffffffff5"/>
        <w:rPr>
          <w:rFonts w:ascii="Verdana" w:hAnsi="Verdana"/>
          <w:color w:val="000000"/>
          <w:sz w:val="21"/>
          <w:szCs w:val="21"/>
        </w:rPr>
      </w:pPr>
      <w:r>
        <w:rPr>
          <w:rFonts w:ascii="Helvetica Neue" w:hAnsi="Helvetica Neue"/>
          <w:b/>
          <w:bCs w:val="0"/>
          <w:color w:val="222222"/>
          <w:sz w:val="21"/>
          <w:szCs w:val="21"/>
        </w:rPr>
        <w:t>Мальцев, Валерий Павлович.</w:t>
      </w:r>
    </w:p>
    <w:p w14:paraId="56BD6B28" w14:textId="77777777" w:rsidR="00D5157B" w:rsidRDefault="00D5157B" w:rsidP="00D5157B">
      <w:pPr>
        <w:pStyle w:val="20"/>
        <w:spacing w:before="0" w:after="312"/>
        <w:rPr>
          <w:rFonts w:ascii="Arial" w:hAnsi="Arial" w:cs="Arial"/>
          <w:caps/>
          <w:color w:val="333333"/>
          <w:sz w:val="27"/>
          <w:szCs w:val="27"/>
        </w:rPr>
      </w:pPr>
      <w:r>
        <w:rPr>
          <w:rFonts w:ascii="Helvetica Neue" w:hAnsi="Helvetica Neue" w:cs="Arial"/>
          <w:caps/>
          <w:color w:val="222222"/>
          <w:sz w:val="21"/>
          <w:szCs w:val="21"/>
        </w:rPr>
        <w:t>Сканирующая проточная цитометрия : диссертация ... доктора физико-математических наук : 01.04.05. - Новосибирск, 2000. - 222 с. : ил.</w:t>
      </w:r>
    </w:p>
    <w:p w14:paraId="3BC4D378" w14:textId="77777777" w:rsidR="00D5157B" w:rsidRDefault="00D5157B" w:rsidP="00D5157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Мальцев, Валерий Павлович</w:t>
      </w:r>
    </w:p>
    <w:p w14:paraId="08F178B1" w14:textId="77777777" w:rsidR="00D5157B" w:rsidRDefault="00D5157B" w:rsidP="00D515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2AFC677" w14:textId="77777777" w:rsidR="00D5157B" w:rsidRDefault="00D5157B" w:rsidP="00D515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ЛИТЕРАТУРНЫЙ ОБЗОР.</w:t>
      </w:r>
    </w:p>
    <w:p w14:paraId="1C5D847F" w14:textId="77777777" w:rsidR="00D5157B" w:rsidRDefault="00D5157B" w:rsidP="00D515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Дисперсная среда. Теоретические и экспериментальные подходы в анализе.</w:t>
      </w:r>
    </w:p>
    <w:p w14:paraId="4AB0B7A1" w14:textId="77777777" w:rsidR="00D5157B" w:rsidRDefault="00D5157B" w:rsidP="00D515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Анализ дисперсной среды методами поштучного счета частиц.</w:t>
      </w:r>
    </w:p>
    <w:p w14:paraId="78817DDE" w14:textId="77777777" w:rsidR="00D5157B" w:rsidRDefault="00D5157B" w:rsidP="00D515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Култер принцип.</w:t>
      </w:r>
    </w:p>
    <w:p w14:paraId="1AC69A72" w14:textId="77777777" w:rsidR="00D5157B" w:rsidRDefault="00D5157B" w:rsidP="00D515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Проточная цитометрия.</w:t>
      </w:r>
    </w:p>
    <w:p w14:paraId="501FD75D" w14:textId="77777777" w:rsidR="00D5157B" w:rsidRDefault="00D5157B" w:rsidP="00D515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ГЛАВА 2. СКАНИРУЮЩАЯ ПРОТОЧНАЯ ЦИТОМЕТРИЯ. ИНСТРУМЕНТАЛЬНОЕ РЕШЕНИЕ.</w:t>
      </w:r>
    </w:p>
    <w:p w14:paraId="7095DD5A" w14:textId="77777777" w:rsidR="00D5157B" w:rsidRDefault="00D5157B" w:rsidP="00D515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Введение.</w:t>
      </w:r>
    </w:p>
    <w:p w14:paraId="4059CC57" w14:textId="77777777" w:rsidR="00D5157B" w:rsidRDefault="00D5157B" w:rsidP="00D515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Проточный цитометр стандартной конфигурации.</w:t>
      </w:r>
    </w:p>
    <w:p w14:paraId="50010F2E" w14:textId="77777777" w:rsidR="00D5157B" w:rsidRDefault="00D5157B" w:rsidP="00D515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Сканирующий проточный цитометр прямой конфигурации.</w:t>
      </w:r>
    </w:p>
    <w:p w14:paraId="53B02EED" w14:textId="77777777" w:rsidR="00D5157B" w:rsidRDefault="00D5157B" w:rsidP="00D515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Сканирующая оптическая кювета.</w:t>
      </w:r>
    </w:p>
    <w:p w14:paraId="2905246C" w14:textId="77777777" w:rsidR="00D5157B" w:rsidRDefault="00D5157B" w:rsidP="00D515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2.3.1.1. Передаточная и апертурная функции оптической кюветы.</w:t>
      </w:r>
    </w:p>
    <w:p w14:paraId="45531368" w14:textId="77777777" w:rsidR="00D5157B" w:rsidRDefault="00D5157B" w:rsidP="00D515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2.3.1.2. Матрица Мюллера оптической кюветы.</w:t>
      </w:r>
    </w:p>
    <w:p w14:paraId="1F1C6442" w14:textId="77777777" w:rsidR="00D5157B" w:rsidRDefault="00D5157B" w:rsidP="00D515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Времяразрешенное измерение фосфоресценции.</w:t>
      </w:r>
    </w:p>
    <w:p w14:paraId="1F3F0BE6" w14:textId="77777777" w:rsidR="00D5157B" w:rsidRDefault="00D5157B" w:rsidP="00D515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Сканирующий проточный цитометр обратной конфигурации.</w:t>
      </w:r>
    </w:p>
    <w:p w14:paraId="50B83AD0" w14:textId="77777777" w:rsidR="00D5157B" w:rsidRDefault="00D5157B" w:rsidP="00D515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Поляризационный сканирующий проточный цитометр.</w:t>
      </w:r>
    </w:p>
    <w:p w14:paraId="46B5299C" w14:textId="77777777" w:rsidR="00D5157B" w:rsidRDefault="00D5157B" w:rsidP="00D515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Электронная система сканирующего проточного цитометр а.</w:t>
      </w:r>
    </w:p>
    <w:p w14:paraId="2F0A1CAA" w14:textId="77777777" w:rsidR="00D5157B" w:rsidRDefault="00D5157B" w:rsidP="00D515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Программное обеспечение сканирующего проточного цитометра.</w:t>
      </w:r>
    </w:p>
    <w:p w14:paraId="31FA7B2D" w14:textId="77777777" w:rsidR="00D5157B" w:rsidRDefault="00D5157B" w:rsidP="00D515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2.8. Выводы к Главе 2.</w:t>
      </w:r>
    </w:p>
    <w:p w14:paraId="715449E2" w14:textId="77777777" w:rsidR="00D5157B" w:rsidRDefault="00D5157B" w:rsidP="00D515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ГЛАВА 3. СКАНИРУЮЩАЯ ПРОТОЧНАЯ ЦИТОМЕТРИЯ. ТЕОРИЯ МЕТОДА.</w:t>
      </w:r>
    </w:p>
    <w:p w14:paraId="49A34974" w14:textId="77777777" w:rsidR="00D5157B" w:rsidRDefault="00D5157B" w:rsidP="00D515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Введение.</w:t>
      </w:r>
    </w:p>
    <w:p w14:paraId="1845C5C7" w14:textId="77777777" w:rsidR="00D5157B" w:rsidRDefault="00D5157B" w:rsidP="00D515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Обратная задана светорассеяния в цитометрии стандартной конфигурации.</w:t>
      </w:r>
    </w:p>
    <w:p w14:paraId="47C12694" w14:textId="77777777" w:rsidR="00D5157B" w:rsidRDefault="00D5157B" w:rsidP="00D515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Метод двухуглового светорассеяния (Two Angle Light</w:t>
      </w:r>
    </w:p>
    <w:p w14:paraId="57F1D9F3" w14:textId="77777777" w:rsidR="00D5157B" w:rsidRDefault="00D5157B" w:rsidP="00D515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Scattering, 2ALS).</w:t>
      </w:r>
    </w:p>
    <w:p w14:paraId="7443257A" w14:textId="77777777" w:rsidR="00D5157B" w:rsidRDefault="00D5157B" w:rsidP="00D515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Метод тройного двухуглового светорассеяния (Triple Two</w:t>
      </w:r>
    </w:p>
    <w:p w14:paraId="4F01B03B" w14:textId="77777777" w:rsidR="00D5157B" w:rsidRPr="00D5157B" w:rsidRDefault="00D5157B" w:rsidP="00D5157B">
      <w:pPr>
        <w:pStyle w:val="afffffffffffffffffffffffffff5"/>
        <w:spacing w:before="0" w:beforeAutospacing="0" w:after="312" w:afterAutospacing="0"/>
        <w:rPr>
          <w:rFonts w:ascii="Arial" w:hAnsi="Arial" w:cs="Arial"/>
          <w:color w:val="333333"/>
          <w:sz w:val="21"/>
          <w:szCs w:val="21"/>
          <w:lang w:val="en-US"/>
        </w:rPr>
      </w:pPr>
      <w:r w:rsidRPr="00D5157B">
        <w:rPr>
          <w:rFonts w:ascii="Arial" w:hAnsi="Arial" w:cs="Arial"/>
          <w:color w:val="333333"/>
          <w:sz w:val="21"/>
          <w:szCs w:val="21"/>
          <w:lang w:val="en-US"/>
        </w:rPr>
        <w:t>Angle-Light Scattering, 3x2ALS).</w:t>
      </w:r>
    </w:p>
    <w:p w14:paraId="0ED2AB77" w14:textId="77777777" w:rsidR="00D5157B" w:rsidRPr="00D5157B" w:rsidRDefault="00D5157B" w:rsidP="00D5157B">
      <w:pPr>
        <w:pStyle w:val="afffffffffffffffffffffffffff5"/>
        <w:spacing w:before="0" w:beforeAutospacing="0" w:after="312" w:afterAutospacing="0"/>
        <w:rPr>
          <w:rFonts w:ascii="Arial" w:hAnsi="Arial" w:cs="Arial"/>
          <w:color w:val="333333"/>
          <w:sz w:val="21"/>
          <w:szCs w:val="21"/>
          <w:lang w:val="en-US"/>
        </w:rPr>
      </w:pPr>
      <w:r w:rsidRPr="00D5157B">
        <w:rPr>
          <w:rFonts w:ascii="Arial" w:hAnsi="Arial" w:cs="Arial"/>
          <w:color w:val="333333"/>
          <w:sz w:val="21"/>
          <w:szCs w:val="21"/>
          <w:lang w:val="en-US"/>
        </w:rPr>
        <w:t xml:space="preserve">3.3. </w:t>
      </w:r>
      <w:r>
        <w:rPr>
          <w:rFonts w:ascii="Arial" w:hAnsi="Arial" w:cs="Arial"/>
          <w:color w:val="333333"/>
          <w:sz w:val="21"/>
          <w:szCs w:val="21"/>
        </w:rPr>
        <w:t>Индикатриса</w:t>
      </w:r>
      <w:r w:rsidRPr="00D5157B">
        <w:rPr>
          <w:rFonts w:ascii="Arial" w:hAnsi="Arial" w:cs="Arial"/>
          <w:color w:val="333333"/>
          <w:sz w:val="21"/>
          <w:szCs w:val="21"/>
          <w:lang w:val="en-US"/>
        </w:rPr>
        <w:t xml:space="preserve"> </w:t>
      </w:r>
      <w:r>
        <w:rPr>
          <w:rFonts w:ascii="Arial" w:hAnsi="Arial" w:cs="Arial"/>
          <w:color w:val="333333"/>
          <w:sz w:val="21"/>
          <w:szCs w:val="21"/>
        </w:rPr>
        <w:t>одиночной</w:t>
      </w:r>
      <w:r w:rsidRPr="00D5157B">
        <w:rPr>
          <w:rFonts w:ascii="Arial" w:hAnsi="Arial" w:cs="Arial"/>
          <w:color w:val="333333"/>
          <w:sz w:val="21"/>
          <w:szCs w:val="21"/>
          <w:lang w:val="en-US"/>
        </w:rPr>
        <w:t xml:space="preserve"> </w:t>
      </w:r>
      <w:r>
        <w:rPr>
          <w:rFonts w:ascii="Arial" w:hAnsi="Arial" w:cs="Arial"/>
          <w:color w:val="333333"/>
          <w:sz w:val="21"/>
          <w:szCs w:val="21"/>
        </w:rPr>
        <w:t>частицы</w:t>
      </w:r>
      <w:r w:rsidRPr="00D5157B">
        <w:rPr>
          <w:rFonts w:ascii="Arial" w:hAnsi="Arial" w:cs="Arial"/>
          <w:color w:val="333333"/>
          <w:sz w:val="21"/>
          <w:szCs w:val="21"/>
          <w:lang w:val="en-US"/>
        </w:rPr>
        <w:t>.</w:t>
      </w:r>
    </w:p>
    <w:p w14:paraId="4308BA83" w14:textId="77777777" w:rsidR="00D5157B" w:rsidRDefault="00D5157B" w:rsidP="00D515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Методы расчета индикатрисы.</w:t>
      </w:r>
    </w:p>
    <w:p w14:paraId="40E81BF7" w14:textId="77777777" w:rsidR="00D5157B" w:rsidRDefault="00D5157B" w:rsidP="00D515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3.3.1.1. Приближенные методы.</w:t>
      </w:r>
    </w:p>
    <w:p w14:paraId="2385AD8C" w14:textId="77777777" w:rsidR="00D5157B" w:rsidRDefault="00D5157B" w:rsidP="00D515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3.3.1.2. Точные методы.</w:t>
      </w:r>
    </w:p>
    <w:p w14:paraId="5A5F8D07" w14:textId="77777777" w:rsidR="00D5157B" w:rsidRDefault="00D5157B" w:rsidP="00D515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Особенности формирования индикатрисы сферической частицы.</w:t>
      </w:r>
    </w:p>
    <w:p w14:paraId="1EB23616" w14:textId="77777777" w:rsidR="00D5157B" w:rsidRDefault="00D5157B" w:rsidP="00D515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3.3.2.1. Формирование экстремумов.</w:t>
      </w:r>
    </w:p>
    <w:p w14:paraId="35D1BD17" w14:textId="77777777" w:rsidR="00D5157B" w:rsidRDefault="00D5157B" w:rsidP="00D515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3.3.2.2. Формирование контраста индикатрисы сферической частицы.</w:t>
      </w:r>
    </w:p>
    <w:p w14:paraId="4A4FDFB1" w14:textId="77777777" w:rsidR="00D5157B" w:rsidRDefault="00D5157B" w:rsidP="00D515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Особенности формирования индикатрисы частицы произвольной формы.</w:t>
      </w:r>
    </w:p>
    <w:p w14:paraId="754555F3" w14:textId="77777777" w:rsidR="00D5157B" w:rsidRDefault="00D5157B" w:rsidP="00D515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3.3.3.1. Формирование контраста индикатрисы несферической частицы.</w:t>
      </w:r>
    </w:p>
    <w:p w14:paraId="7FFF4482" w14:textId="77777777" w:rsidR="00D5157B" w:rsidRDefault="00D5157B" w:rsidP="00D515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3.3.3.2. Функция распределения плотности набега фазы частицы.</w:t>
      </w:r>
    </w:p>
    <w:p w14:paraId="7EF42B87" w14:textId="77777777" w:rsidR="00D5157B" w:rsidRDefault="00D5157B" w:rsidP="00D515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3.3.3.3. Функция распределения плотности набега фазы частиц разной формы.</w:t>
      </w:r>
    </w:p>
    <w:p w14:paraId="7836E76E" w14:textId="77777777" w:rsidR="00D5157B" w:rsidRDefault="00D5157B" w:rsidP="00D515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3.3.3.4. Связь ширины функции распределения плотности набега фазы с контрастом индикатрисы.</w:t>
      </w:r>
    </w:p>
    <w:p w14:paraId="6D595DDF" w14:textId="77777777" w:rsidR="00D5157B" w:rsidRDefault="00D5157B" w:rsidP="00D515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3.3.4. Параметризация индикатрисы.</w:t>
      </w:r>
    </w:p>
    <w:p w14:paraId="1873180B" w14:textId="77777777" w:rsidR="00D5157B" w:rsidRDefault="00D5157B" w:rsidP="00D515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3.3.5. Параметрическое решение обратной задачи светорассеяния</w:t>
      </w:r>
    </w:p>
    <w:p w14:paraId="126E245B" w14:textId="77777777" w:rsidR="00D5157B" w:rsidRDefault="00D5157B" w:rsidP="00D515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3.3.5.1. Гомогенная сферическая частица.</w:t>
      </w:r>
    </w:p>
    <w:p w14:paraId="2675800A" w14:textId="77777777" w:rsidR="00D5157B" w:rsidRDefault="00D5157B" w:rsidP="00D515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3.3.5.2. Гомогенная сферическая частица с поглощением.</w:t>
      </w:r>
    </w:p>
    <w:p w14:paraId="04BDD654" w14:textId="77777777" w:rsidR="00D5157B" w:rsidRDefault="00D5157B" w:rsidP="00D515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3.3.5.3. Индикатриса одиночной частицы в сильно сфокусированном световом поле.</w:t>
      </w:r>
    </w:p>
    <w:p w14:paraId="01D40E11" w14:textId="77777777" w:rsidR="00D5157B" w:rsidRDefault="00D5157B" w:rsidP="00D515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3.3.6. Индикатриса несферической одиночной частицы.</w:t>
      </w:r>
    </w:p>
    <w:p w14:paraId="3F2C4278" w14:textId="77777777" w:rsidR="00D5157B" w:rsidRDefault="00D5157B" w:rsidP="00D515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Несферическая частица в пуазейлевском потоке сканирующего проточного цитометра.</w:t>
      </w:r>
    </w:p>
    <w:p w14:paraId="1FFEDA74" w14:textId="77777777" w:rsidR="00D5157B" w:rsidRDefault="00D5157B" w:rsidP="00D515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Выводы к Главе 3.</w:t>
      </w:r>
    </w:p>
    <w:p w14:paraId="0F0F4AFE" w14:textId="77777777" w:rsidR="00D5157B" w:rsidRDefault="00D5157B" w:rsidP="00D515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ГЛАВА 4. СКАНИРУЮЩАЯ ПРОТОЧНАЯ ЦИТОМЕТРИЯ. ПРАКТИЧЕСКОЕ ИСПОЛЬЗОВАНИЕ.</w:t>
      </w:r>
    </w:p>
    <w:p w14:paraId="58BCA440" w14:textId="77777777" w:rsidR="00D5157B" w:rsidRDefault="00D5157B" w:rsidP="00D515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Сертификация латексных частиц.</w:t>
      </w:r>
    </w:p>
    <w:p w14:paraId="57F60B02" w14:textId="77777777" w:rsidR="00D5157B" w:rsidRDefault="00D5157B" w:rsidP="00D515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Исследование кинетики полимеризации с помоъцъю сканирующего проточного цитометра.</w:t>
      </w:r>
    </w:p>
    <w:p w14:paraId="15112AD0" w14:textId="77777777" w:rsidR="00D5157B" w:rsidRDefault="00D5157B" w:rsidP="00D515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Идентификация частиц по сигналу светорассеяния сканирующего проточного цитометра.</w:t>
      </w:r>
    </w:p>
    <w:p w14:paraId="4EA4344B" w14:textId="77777777" w:rsidR="00D5157B" w:rsidRDefault="00D5157B" w:rsidP="00D515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Анализ содержания жира в молоке на сканирующем проточном цитометре.</w:t>
      </w:r>
    </w:p>
    <w:p w14:paraId="0C770D12" w14:textId="77777777" w:rsidR="00D5157B" w:rsidRDefault="00D5157B" w:rsidP="00D515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Определение объёма эритроцитов и концентрации гемоглобина в них на сканирующем проточном цитометре.</w:t>
      </w:r>
    </w:p>
    <w:p w14:paraId="4E3D2DA0" w14:textId="77777777" w:rsidR="00D5157B" w:rsidRDefault="00D5157B" w:rsidP="00D515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Исследование светорассеивающих свойств несферических частиц.</w:t>
      </w:r>
    </w:p>
    <w:p w14:paraId="1C0C34E9" w14:textId="77777777" w:rsidR="00D5157B" w:rsidRDefault="00D5157B" w:rsidP="00D515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4.6.1. Эритроциты.</w:t>
      </w:r>
    </w:p>
    <w:p w14:paraId="1B5683B2" w14:textId="77777777" w:rsidR="00D5157B" w:rsidRDefault="00D5157B" w:rsidP="00D515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4.6.2. Бактерии Escherichia coli и Salmonella typhimnrium.</w:t>
      </w:r>
    </w:p>
    <w:p w14:paraId="61070E37" w14:textId="77777777" w:rsidR="00D5157B" w:rsidRDefault="00D5157B" w:rsidP="00D515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Кинетические исследования взаимодействия лиганда с поверхностны ми рецепторами клетки на сканирующем проточном цитометре.</w:t>
      </w:r>
    </w:p>
    <w:p w14:paraId="66B949EA" w14:textId="77777777" w:rsidR="00D5157B" w:rsidRDefault="00D5157B" w:rsidP="00D515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4.8. Выводы к главе 4.</w:t>
      </w:r>
    </w:p>
    <w:p w14:paraId="6D559276" w14:textId="77777777" w:rsidR="00D5157B" w:rsidRDefault="00D5157B" w:rsidP="00D515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ГЛАВА 5. ИССЛЕДОВАНИЕ СВЕТОРАССЕИВАЮЩИХ ХАРАКТЕРИСТИК БАКТЕРИЙ С ИСПОЛЬЗОВАНИЕМ СКАНИРУЮЩЕГО ЛАЗЕРНОГО НЕФЕЛОМЕТРА.</w:t>
      </w:r>
    </w:p>
    <w:p w14:paraId="06E0ADC2" w14:textId="77777777" w:rsidR="00D5157B" w:rsidRDefault="00D5157B" w:rsidP="00D515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ВЫВОДЫ.</w:t>
      </w:r>
    </w:p>
    <w:p w14:paraId="071EBB05" w14:textId="635EE025" w:rsidR="00E67B85" w:rsidRPr="00D5157B" w:rsidRDefault="00E67B85" w:rsidP="00D5157B"/>
    <w:sectPr w:rsidR="00E67B85" w:rsidRPr="00D5157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3F9D8" w14:textId="77777777" w:rsidR="00B6319F" w:rsidRDefault="00B6319F">
      <w:pPr>
        <w:spacing w:after="0" w:line="240" w:lineRule="auto"/>
      </w:pPr>
      <w:r>
        <w:separator/>
      </w:r>
    </w:p>
  </w:endnote>
  <w:endnote w:type="continuationSeparator" w:id="0">
    <w:p w14:paraId="6C06FCC5" w14:textId="77777777" w:rsidR="00B6319F" w:rsidRDefault="00B63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058B4" w14:textId="77777777" w:rsidR="00B6319F" w:rsidRDefault="00B6319F"/>
    <w:p w14:paraId="6477CD53" w14:textId="77777777" w:rsidR="00B6319F" w:rsidRDefault="00B6319F"/>
    <w:p w14:paraId="630CE47C" w14:textId="77777777" w:rsidR="00B6319F" w:rsidRDefault="00B6319F"/>
    <w:p w14:paraId="00A64224" w14:textId="77777777" w:rsidR="00B6319F" w:rsidRDefault="00B6319F"/>
    <w:p w14:paraId="0544116F" w14:textId="77777777" w:rsidR="00B6319F" w:rsidRDefault="00B6319F"/>
    <w:p w14:paraId="1F5D8533" w14:textId="77777777" w:rsidR="00B6319F" w:rsidRDefault="00B6319F"/>
    <w:p w14:paraId="61CBCB80" w14:textId="77777777" w:rsidR="00B6319F" w:rsidRDefault="00B6319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BFBC9D" wp14:editId="17B3B49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8C15D" w14:textId="77777777" w:rsidR="00B6319F" w:rsidRDefault="00B631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BFBC9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DB8C15D" w14:textId="77777777" w:rsidR="00B6319F" w:rsidRDefault="00B631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4AE379" w14:textId="77777777" w:rsidR="00B6319F" w:rsidRDefault="00B6319F"/>
    <w:p w14:paraId="6E0585C0" w14:textId="77777777" w:rsidR="00B6319F" w:rsidRDefault="00B6319F"/>
    <w:p w14:paraId="64E90D0F" w14:textId="77777777" w:rsidR="00B6319F" w:rsidRDefault="00B6319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23F1B9" wp14:editId="51FD437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BD135" w14:textId="77777777" w:rsidR="00B6319F" w:rsidRDefault="00B6319F"/>
                          <w:p w14:paraId="3225CBCD" w14:textId="77777777" w:rsidR="00B6319F" w:rsidRDefault="00B631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23F1B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CCBD135" w14:textId="77777777" w:rsidR="00B6319F" w:rsidRDefault="00B6319F"/>
                    <w:p w14:paraId="3225CBCD" w14:textId="77777777" w:rsidR="00B6319F" w:rsidRDefault="00B631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A6F175" w14:textId="77777777" w:rsidR="00B6319F" w:rsidRDefault="00B6319F"/>
    <w:p w14:paraId="2E89FCC2" w14:textId="77777777" w:rsidR="00B6319F" w:rsidRDefault="00B6319F">
      <w:pPr>
        <w:rPr>
          <w:sz w:val="2"/>
          <w:szCs w:val="2"/>
        </w:rPr>
      </w:pPr>
    </w:p>
    <w:p w14:paraId="7EB25D7D" w14:textId="77777777" w:rsidR="00B6319F" w:rsidRDefault="00B6319F"/>
    <w:p w14:paraId="1BB97B66" w14:textId="77777777" w:rsidR="00B6319F" w:rsidRDefault="00B6319F">
      <w:pPr>
        <w:spacing w:after="0" w:line="240" w:lineRule="auto"/>
      </w:pPr>
    </w:p>
  </w:footnote>
  <w:footnote w:type="continuationSeparator" w:id="0">
    <w:p w14:paraId="7B493893" w14:textId="77777777" w:rsidR="00B6319F" w:rsidRDefault="00B63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19F"/>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120973</TotalTime>
  <Pages>4</Pages>
  <Words>509</Words>
  <Characters>2902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2794</cp:revision>
  <cp:lastPrinted>2009-02-06T05:36:00Z</cp:lastPrinted>
  <dcterms:created xsi:type="dcterms:W3CDTF">2024-01-07T13:43:00Z</dcterms:created>
  <dcterms:modified xsi:type="dcterms:W3CDTF">2025-06-24T12:15:00Z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