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16EB" w14:textId="1069EE05" w:rsidR="000560C2" w:rsidRDefault="008313ED" w:rsidP="008313ED">
      <w:pPr>
        <w:rPr>
          <w:rFonts w:ascii="Verdana" w:hAnsi="Verdana"/>
          <w:b/>
          <w:bCs/>
          <w:color w:val="000000"/>
          <w:shd w:val="clear" w:color="auto" w:fill="FFFFFF"/>
        </w:rPr>
      </w:pPr>
      <w:r>
        <w:rPr>
          <w:rFonts w:ascii="Verdana" w:hAnsi="Verdana"/>
          <w:b/>
          <w:bCs/>
          <w:color w:val="000000"/>
          <w:shd w:val="clear" w:color="auto" w:fill="FFFFFF"/>
        </w:rPr>
        <w:t>Барей Богдана Іванівна. Уніфікація нормативної документації в області термоелектричних вимірювань: Дис... канд. техн. наук: 05.01.02 / Київський національний ун-т технологій та дизайну. - К., 2002. - 245арк. - Бібліогр.: арк. 164-173.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3ED" w:rsidRPr="008313ED" w14:paraId="43041293" w14:textId="77777777" w:rsidTr="008313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3ED" w:rsidRPr="008313ED" w14:paraId="049E65F6" w14:textId="77777777">
              <w:trPr>
                <w:tblCellSpacing w:w="0" w:type="dxa"/>
              </w:trPr>
              <w:tc>
                <w:tcPr>
                  <w:tcW w:w="0" w:type="auto"/>
                  <w:vAlign w:val="center"/>
                  <w:hideMark/>
                </w:tcPr>
                <w:p w14:paraId="4718C2CF" w14:textId="77777777" w:rsidR="008313ED" w:rsidRPr="008313ED" w:rsidRDefault="008313ED" w:rsidP="008313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b/>
                      <w:bCs/>
                      <w:sz w:val="24"/>
                      <w:szCs w:val="24"/>
                    </w:rPr>
                    <w:lastRenderedPageBreak/>
                    <w:t>Барей Богдана Іванівна. “Уніфікація нормативної документації в області термоелектричних вимірювань”</w:t>
                  </w:r>
                  <w:r w:rsidRPr="008313ED">
                    <w:rPr>
                      <w:rFonts w:ascii="Times New Roman" w:eastAsia="Times New Roman" w:hAnsi="Times New Roman" w:cs="Times New Roman"/>
                      <w:sz w:val="24"/>
                      <w:szCs w:val="24"/>
                    </w:rPr>
                    <w:t>. – Рукопис.</w:t>
                  </w:r>
                </w:p>
                <w:p w14:paraId="1BF657FE" w14:textId="77777777" w:rsidR="008313ED" w:rsidRPr="008313ED" w:rsidRDefault="008313ED" w:rsidP="008313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та сертифікація. Київський національний університет технологій та дизайну, Київ, 2002.</w:t>
                  </w:r>
                </w:p>
                <w:p w14:paraId="549A681D" w14:textId="77777777" w:rsidR="008313ED" w:rsidRPr="008313ED" w:rsidRDefault="008313ED" w:rsidP="008313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Дисертація присвячена розробці теоретичних основ і практичних рекомендацій уніфікації нормативної документації. У роботі запропонована модель проектування нормативної документації на основі модульного принципу формування систем, що дає можливість забезпечити ідентичність всіх характеристик заново розроблюваних нормативних документів. Розроблені методичні основи аналізу вихідних множин нормативних документів, відбору на їх основі множин модуль–елементів та їх структурного синтезу при проектуванні. Розроблено та запропоновано методику уніфікації діючого масиву нормативних документів в області термоелектричних вимірювань.</w:t>
                  </w:r>
                </w:p>
                <w:p w14:paraId="42990D42" w14:textId="77777777" w:rsidR="008313ED" w:rsidRPr="008313ED" w:rsidRDefault="008313ED" w:rsidP="008313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Для впровадження отриманих уніфікованих рішень розроблено систему автоматизованого проектування стандартів, яка дає можливість скоротити і полегшити процес розробки нормативних документів та забезпечити їх взаємну уніфікацію.</w:t>
                  </w:r>
                </w:p>
              </w:tc>
            </w:tr>
          </w:tbl>
          <w:p w14:paraId="4BBA3EB2" w14:textId="77777777" w:rsidR="008313ED" w:rsidRPr="008313ED" w:rsidRDefault="008313ED" w:rsidP="008313ED">
            <w:pPr>
              <w:spacing w:after="0" w:line="240" w:lineRule="auto"/>
              <w:rPr>
                <w:rFonts w:ascii="Times New Roman" w:eastAsia="Times New Roman" w:hAnsi="Times New Roman" w:cs="Times New Roman"/>
                <w:sz w:val="24"/>
                <w:szCs w:val="24"/>
              </w:rPr>
            </w:pPr>
          </w:p>
        </w:tc>
      </w:tr>
      <w:tr w:rsidR="008313ED" w:rsidRPr="008313ED" w14:paraId="4DA80A60" w14:textId="77777777" w:rsidTr="008313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3ED" w:rsidRPr="008313ED" w14:paraId="429999A1" w14:textId="77777777">
              <w:trPr>
                <w:tblCellSpacing w:w="0" w:type="dxa"/>
              </w:trPr>
              <w:tc>
                <w:tcPr>
                  <w:tcW w:w="0" w:type="auto"/>
                  <w:vAlign w:val="center"/>
                  <w:hideMark/>
                </w:tcPr>
                <w:p w14:paraId="0E495810"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Обґрунтовано, що теоретичною базою уніфікації НД є ієрархічна структура масиву нормативних документів, який розглядається як С–система, що характеризується наявністю функціональних та конструктивних взаємозв'язків між її елементами, власною метою і поведінкою та має діалектичний характер розвитку. Це дозволяє розробляти її елементи у вигляді модулів та використовувати для проектування нормативних документів модульний принцип формування систем.</w:t>
                  </w:r>
                </w:p>
                <w:p w14:paraId="2EC41C4E"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Розроблено узагальнену математичну модель модульного проектування стандартів, що регламентує вибір системи модулів кількісного і якісного складу стандартів, які дають змогу сформувати комплекти НД, які дозволяють з найменшими затратами виконувати заданий комплекс робіт.</w:t>
                  </w:r>
                </w:p>
                <w:p w14:paraId="347EA28B"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Встановлено склад системи принципів та видів уніфікації НД в області термоелектричних вимірювань, у відповідності до яких розроблено алгоритм проведення уніфікації масиву державних стандартів на термоелектричні прилади видів загальних технічних вимог та загальних технічних умов.</w:t>
                  </w:r>
                </w:p>
                <w:p w14:paraId="792E8FE6"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Розроблено методику відбору загальних модуль–елементів НД на основі аналізу усталених С–систем (діючої на сьогоднішній день нормативної документації) та методику проведення синтезу модуль–елементів НД, яка базується на структурному підході до процесу генерування проектних рішень.</w:t>
                  </w:r>
                </w:p>
                <w:p w14:paraId="0A536FDB"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На основі розрахунку коефіцієнтів рангової кореляції Кендела і Спірмена виявлено та науково обґрунтовано номенклатуру стандартів, структура яких повинна бути перекоординована з метою взаємної уніфікації у відповідності з розробленими принципами уніфікації НД та отримано систему уніфікованих рішень, які повинні бути впроваджені за рахунок застосування їх на стадії модульного проектування стандартів.</w:t>
                  </w:r>
                </w:p>
                <w:p w14:paraId="3DF6DD6E" w14:textId="77777777" w:rsidR="008313ED" w:rsidRPr="008313ED" w:rsidRDefault="008313ED" w:rsidP="008313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313ED">
                    <w:rPr>
                      <w:rFonts w:ascii="Times New Roman" w:eastAsia="Times New Roman" w:hAnsi="Times New Roman" w:cs="Times New Roman"/>
                      <w:sz w:val="24"/>
                      <w:szCs w:val="24"/>
                    </w:rPr>
                    <w:t>Розроблено програму автоматизованого проектування державних стандартів на термоелектричні прилади, призначену для автоматизації процесів визначення структури та складу державних стандартів та генерації загальної моделі побудови стандартів для проектування на їх основі стандартів необхідного виду на конкретні ТЕП.</w:t>
                  </w:r>
                </w:p>
              </w:tc>
            </w:tr>
          </w:tbl>
          <w:p w14:paraId="19A79912" w14:textId="77777777" w:rsidR="008313ED" w:rsidRPr="008313ED" w:rsidRDefault="008313ED" w:rsidP="008313ED">
            <w:pPr>
              <w:spacing w:after="0" w:line="240" w:lineRule="auto"/>
              <w:rPr>
                <w:rFonts w:ascii="Times New Roman" w:eastAsia="Times New Roman" w:hAnsi="Times New Roman" w:cs="Times New Roman"/>
                <w:sz w:val="24"/>
                <w:szCs w:val="24"/>
              </w:rPr>
            </w:pPr>
          </w:p>
        </w:tc>
      </w:tr>
    </w:tbl>
    <w:p w14:paraId="4ADD0132" w14:textId="77777777" w:rsidR="008313ED" w:rsidRPr="008313ED" w:rsidRDefault="008313ED" w:rsidP="008313ED"/>
    <w:sectPr w:rsidR="008313ED" w:rsidRPr="008313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5708" w14:textId="77777777" w:rsidR="00F63567" w:rsidRDefault="00F63567">
      <w:pPr>
        <w:spacing w:after="0" w:line="240" w:lineRule="auto"/>
      </w:pPr>
      <w:r>
        <w:separator/>
      </w:r>
    </w:p>
  </w:endnote>
  <w:endnote w:type="continuationSeparator" w:id="0">
    <w:p w14:paraId="17564FE8" w14:textId="77777777" w:rsidR="00F63567" w:rsidRDefault="00F6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CC02" w14:textId="77777777" w:rsidR="00F63567" w:rsidRDefault="00F63567">
      <w:pPr>
        <w:spacing w:after="0" w:line="240" w:lineRule="auto"/>
      </w:pPr>
      <w:r>
        <w:separator/>
      </w:r>
    </w:p>
  </w:footnote>
  <w:footnote w:type="continuationSeparator" w:id="0">
    <w:p w14:paraId="4E2104E8" w14:textId="77777777" w:rsidR="00F63567" w:rsidRDefault="00F6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35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28"/>
  </w:num>
  <w:num w:numId="4">
    <w:abstractNumId w:val="12"/>
  </w:num>
  <w:num w:numId="5">
    <w:abstractNumId w:val="18"/>
  </w:num>
  <w:num w:numId="6">
    <w:abstractNumId w:val="27"/>
  </w:num>
  <w:num w:numId="7">
    <w:abstractNumId w:val="0"/>
  </w:num>
  <w:num w:numId="8">
    <w:abstractNumId w:val="26"/>
  </w:num>
  <w:num w:numId="9">
    <w:abstractNumId w:val="11"/>
  </w:num>
  <w:num w:numId="10">
    <w:abstractNumId w:val="16"/>
  </w:num>
  <w:num w:numId="11">
    <w:abstractNumId w:val="34"/>
  </w:num>
  <w:num w:numId="12">
    <w:abstractNumId w:val="1"/>
  </w:num>
  <w:num w:numId="13">
    <w:abstractNumId w:val="14"/>
  </w:num>
  <w:num w:numId="14">
    <w:abstractNumId w:val="24"/>
  </w:num>
  <w:num w:numId="15">
    <w:abstractNumId w:val="29"/>
  </w:num>
  <w:num w:numId="16">
    <w:abstractNumId w:val="10"/>
  </w:num>
  <w:num w:numId="17">
    <w:abstractNumId w:val="6"/>
  </w:num>
  <w:num w:numId="18">
    <w:abstractNumId w:val="30"/>
  </w:num>
  <w:num w:numId="19">
    <w:abstractNumId w:val="31"/>
  </w:num>
  <w:num w:numId="20">
    <w:abstractNumId w:val="23"/>
  </w:num>
  <w:num w:numId="21">
    <w:abstractNumId w:val="32"/>
  </w:num>
  <w:num w:numId="22">
    <w:abstractNumId w:val="20"/>
  </w:num>
  <w:num w:numId="23">
    <w:abstractNumId w:val="3"/>
  </w:num>
  <w:num w:numId="24">
    <w:abstractNumId w:val="13"/>
  </w:num>
  <w:num w:numId="25">
    <w:abstractNumId w:val="13"/>
    <w:lvlOverride w:ilvl="1">
      <w:startOverride w:val="12"/>
    </w:lvlOverride>
  </w:num>
  <w:num w:numId="26">
    <w:abstractNumId w:val="7"/>
  </w:num>
  <w:num w:numId="27">
    <w:abstractNumId w:val="19"/>
  </w:num>
  <w:num w:numId="28">
    <w:abstractNumId w:val="2"/>
  </w:num>
  <w:num w:numId="29">
    <w:abstractNumId w:val="8"/>
  </w:num>
  <w:num w:numId="30">
    <w:abstractNumId w:val="9"/>
  </w:num>
  <w:num w:numId="31">
    <w:abstractNumId w:val="4"/>
  </w:num>
  <w:num w:numId="32">
    <w:abstractNumId w:val="25"/>
  </w:num>
  <w:num w:numId="33">
    <w:abstractNumId w:val="33"/>
  </w:num>
  <w:num w:numId="34">
    <w:abstractNumId w:val="17"/>
  </w:num>
  <w:num w:numId="35">
    <w:abstractNumId w:val="5"/>
  </w:num>
  <w:num w:numId="3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567"/>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92326</TotalTime>
  <Pages>3</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6706</cp:revision>
  <dcterms:created xsi:type="dcterms:W3CDTF">2024-06-20T08:51:00Z</dcterms:created>
  <dcterms:modified xsi:type="dcterms:W3CDTF">2024-12-11T20:05:00Z</dcterms:modified>
  <cp:category/>
</cp:coreProperties>
</file>