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893416" w:rsidRDefault="00893416" w:rsidP="00893416">
      <w:r w:rsidRPr="003F6CB5">
        <w:rPr>
          <w:rFonts w:ascii="Times New Roman" w:eastAsia="Times New Roman" w:hAnsi="Times New Roman" w:cs="Times New Roman"/>
          <w:b/>
          <w:noProof/>
          <w:sz w:val="24"/>
          <w:szCs w:val="24"/>
        </w:rPr>
        <w:t>Крижевський Віталій Вадимович</w:t>
      </w:r>
      <w:r w:rsidRPr="003F6CB5">
        <w:rPr>
          <w:rFonts w:ascii="Times New Roman" w:eastAsia="Times New Roman" w:hAnsi="Times New Roman" w:cs="Times New Roman"/>
          <w:b/>
          <w:sz w:val="24"/>
          <w:szCs w:val="24"/>
        </w:rPr>
        <w:t>,</w:t>
      </w:r>
      <w:r w:rsidRPr="003F6CB5">
        <w:rPr>
          <w:rFonts w:ascii="Times New Roman" w:eastAsia="Times New Roman" w:hAnsi="Times New Roman" w:cs="Times New Roman"/>
          <w:color w:val="000000"/>
          <w:sz w:val="24"/>
          <w:szCs w:val="24"/>
        </w:rPr>
        <w:t xml:space="preserve"> заступник начальника відділу формування та обліку реєстраційних справ управління державної реєстрації речових прав на нерухоме майно та їх обтяжень Департаменту з питань реєстрації виконавчого органу Київської міської ради (Київської міської державної адміністрації)</w:t>
      </w:r>
      <w:r w:rsidRPr="003F6CB5">
        <w:rPr>
          <w:rFonts w:ascii="Times New Roman" w:eastAsia="Times New Roman" w:hAnsi="Times New Roman" w:cs="Times New Roman"/>
          <w:color w:val="000000"/>
          <w:sz w:val="24"/>
          <w:szCs w:val="24"/>
          <w:shd w:val="clear" w:color="auto" w:fill="FFFFFF"/>
        </w:rPr>
        <w:t>.</w:t>
      </w:r>
      <w:r w:rsidRPr="003F6CB5">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Назва дисертації</w:t>
      </w:r>
      <w:r w:rsidRPr="003F6CB5">
        <w:rPr>
          <w:rFonts w:ascii="Times New Roman" w:eastAsia="Times New Roman" w:hAnsi="Times New Roman" w:cs="Times New Roman"/>
          <w:sz w:val="24"/>
          <w:szCs w:val="24"/>
        </w:rPr>
        <w:t xml:space="preserve"> «</w:t>
      </w:r>
      <w:r w:rsidRPr="003F6CB5">
        <w:rPr>
          <w:rFonts w:ascii="Times New Roman" w:eastAsia="Times New Roman" w:hAnsi="Times New Roman" w:cs="Times New Roman"/>
          <w:iCs/>
          <w:sz w:val="24"/>
          <w:szCs w:val="24"/>
        </w:rPr>
        <w:t>Державний сервіс як інструмент реалізації публічного управління</w:t>
      </w:r>
      <w:r w:rsidRPr="003F6CB5">
        <w:rPr>
          <w:rFonts w:ascii="Times New Roman" w:eastAsia="Times New Roman" w:hAnsi="Times New Roman" w:cs="Times New Roman"/>
          <w:sz w:val="24"/>
          <w:szCs w:val="24"/>
        </w:rPr>
        <w:t xml:space="preserve">». Шифр та назва спеціальності </w:t>
      </w:r>
      <w:r w:rsidRPr="003F6CB5">
        <w:rPr>
          <w:rFonts w:ascii="Times New Roman" w:eastAsia="Times New Roman" w:hAnsi="Times New Roman" w:cs="Times New Roman"/>
          <w:bCs/>
          <w:sz w:val="24"/>
          <w:szCs w:val="24"/>
        </w:rPr>
        <w:t xml:space="preserve">– </w:t>
      </w:r>
      <w:r w:rsidRPr="003F6CB5">
        <w:rPr>
          <w:rFonts w:ascii="Times New Roman" w:eastAsia="Times New Roman" w:hAnsi="Times New Roman" w:cs="Times New Roman"/>
          <w:sz w:val="24"/>
          <w:szCs w:val="24"/>
        </w:rPr>
        <w:t>25.00.02 –</w:t>
      </w:r>
      <w:r w:rsidRPr="003F6CB5">
        <w:rPr>
          <w:rFonts w:ascii="Times New Roman" w:eastAsia="Times New Roman" w:hAnsi="Times New Roman" w:cs="Times New Roman"/>
          <w:sz w:val="24"/>
          <w:szCs w:val="24"/>
          <w:lang w:bidi="hi-IN"/>
        </w:rPr>
        <w:t xml:space="preserve"> </w:t>
      </w:r>
      <w:r w:rsidRPr="003F6CB5">
        <w:rPr>
          <w:rFonts w:ascii="Times New Roman" w:eastAsia="Times New Roman" w:hAnsi="Times New Roman" w:cs="Times New Roman"/>
          <w:sz w:val="24"/>
          <w:szCs w:val="24"/>
        </w:rPr>
        <w:t>механізми державного управління. Спецрада Д 26.891.02 Інституту підготовки кадрів державної служби зайнятості України Міністерства соціальної політики України</w:t>
      </w:r>
    </w:p>
    <w:sectPr w:rsidR="00F95DD1" w:rsidRPr="0089341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893416" w:rsidRPr="0089341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97D382-EFBF-40F3-A6D6-B8BA06F4B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Pages>1</Pages>
  <Words>87</Words>
  <Characters>496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124</cp:revision>
  <cp:lastPrinted>2009-02-06T05:36:00Z</cp:lastPrinted>
  <dcterms:created xsi:type="dcterms:W3CDTF">2021-03-09T13:27:00Z</dcterms:created>
  <dcterms:modified xsi:type="dcterms:W3CDTF">2021-03-11T12:05:00Z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