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97A1"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Дроздовский, Игорь Олегович.</w:t>
      </w:r>
    </w:p>
    <w:p w14:paraId="62D10069"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Изучение звездного населения близких галактик : диссертация ... кандидата физико-математических наук : 01.03.02. - Санкт-Петербург, 1999. - 113 с. : ил.</w:t>
      </w:r>
    </w:p>
    <w:p w14:paraId="07099EFB"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Оглавление диссертациикандидат физико-математических наук Дроздовский, Игорь Олегович</w:t>
      </w:r>
    </w:p>
    <w:p w14:paraId="1724A6B4"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Предисловие</w:t>
      </w:r>
    </w:p>
    <w:p w14:paraId="741BFE9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Введение</w:t>
      </w:r>
    </w:p>
    <w:p w14:paraId="7103A1D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 Фотометрические индикаторы расстояния и возраста</w:t>
      </w:r>
    </w:p>
    <w:p w14:paraId="336519B6"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1.1 Изучение звездообразования.</w:t>
      </w:r>
    </w:p>
    <w:p w14:paraId="48983C26"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 Звезды как индикаторы расстояний'"&gt;.</w:t>
      </w:r>
    </w:p>
    <w:p w14:paraId="13486043"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1.2.1 Методы определения расстоянийдо.^фдактЙс</w:t>
      </w:r>
    </w:p>
    <w:p w14:paraId="5AA1B7BD"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1.2.2 Звезды типа Ш1 Лиры и Цефеиды</w:t>
      </w:r>
    </w:p>
    <w:p w14:paraId="0912BFDB"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1.2.3 Красные гиганты</w:t>
      </w:r>
    </w:p>
    <w:p w14:paraId="2F56E124"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1.2.4 Сверхгиганты</w:t>
      </w:r>
    </w:p>
    <w:p w14:paraId="3307FED7"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1.2.5 Метод флюктуаций поверхностной яркости.</w:t>
      </w:r>
    </w:p>
    <w:p w14:paraId="54C85300"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1.2.6 Шаровые скопления.</w:t>
      </w:r>
    </w:p>
    <w:p w14:paraId="2424F920"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1.2.7 Планетарные туманности.</w:t>
      </w:r>
    </w:p>
    <w:p w14:paraId="3975F719"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1.2.8 Новые звезды</w:t>
      </w:r>
    </w:p>
    <w:p w14:paraId="7D9555F1"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1.2.9 Сверхновые.</w:t>
      </w:r>
    </w:p>
    <w:p w14:paraId="650EF2E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 Звезды как индикаторы возраста.</w:t>
      </w:r>
    </w:p>
    <w:p w14:paraId="0989D84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1.3.1 Точки поворота ветви Главной Последовательности</w:t>
      </w:r>
    </w:p>
    <w:p w14:paraId="083B948F"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1.3.2 Звезды на стадии горения гелия в ядрах - Голубая Петля.</w:t>
      </w:r>
    </w:p>
    <w:p w14:paraId="70BEE738"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1.3.3 Ветвь Красных Гигантов.</w:t>
      </w:r>
    </w:p>
    <w:p w14:paraId="66B9552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1.3.4 Красное Сгущение / Горизонтальная Ветвь.</w:t>
      </w:r>
    </w:p>
    <w:p w14:paraId="6F0515FB"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1.3.5 Продленная Асимптотическая Ветвь Гигантов.</w:t>
      </w:r>
    </w:p>
    <w:p w14:paraId="31292357"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1.3.6 Основные источники ошибок.</w:t>
      </w:r>
    </w:p>
    <w:p w14:paraId="123D7C7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1.3.7 Функции светимости звезд.</w:t>
      </w:r>
    </w:p>
    <w:p w14:paraId="5BDD0CD1"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1.3.8 Изохроны.</w:t>
      </w:r>
    </w:p>
    <w:p w14:paraId="4A41861E"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1.3.9 Модельные диаграммы «цвет-зв.величина».</w:t>
      </w:r>
    </w:p>
    <w:p w14:paraId="4EC2FEB8"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1.3.10 Возможность проверки различных методов.</w:t>
      </w:r>
    </w:p>
    <w:p w14:paraId="29B2C02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 Методика фотометрии звезд в тесных полях</w:t>
      </w:r>
    </w:p>
    <w:p w14:paraId="49831DF8"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lastRenderedPageBreak/>
        <w:t>2.1 Наблюдения.</w:t>
      </w:r>
    </w:p>
    <w:p w14:paraId="46217F98"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2.2 «Эффективность» телескопа.</w:t>
      </w:r>
    </w:p>
    <w:p w14:paraId="0E28D585"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2.3 Основные этапы обработки ПЗС-изображений.</w:t>
      </w:r>
    </w:p>
    <w:p w14:paraId="4F9406FD"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2.4 Звездная фотометрия в тесных полях.</w:t>
      </w:r>
    </w:p>
    <w:p w14:paraId="7CDCF02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2.4.1 Апертурная фотометрия.</w:t>
      </w:r>
    </w:p>
    <w:p w14:paraId="42F6C723"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2.4.2 Оценка фона неба.</w:t>
      </w:r>
    </w:p>
    <w:p w14:paraId="10426D00"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2.4.3 PSF-фотометрия.</w:t>
      </w:r>
    </w:p>
    <w:p w14:paraId="5F5C3FF6"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2.4.4 Адаптация пакета звездной фотометрии в комплексе MIDAS</w:t>
      </w:r>
    </w:p>
    <w:p w14:paraId="710EAB96"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2.5 Приведение к стандартной фотометрической системе</w:t>
      </w:r>
    </w:p>
    <w:p w14:paraId="5AD996E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2.6 О точности звездной фотометрии.</w:t>
      </w:r>
    </w:p>
    <w:p w14:paraId="687FB845"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 Голубая компактная галактика NGC</w:t>
      </w:r>
    </w:p>
    <w:p w14:paraId="06CD156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3.1 Введение.</w:t>
      </w:r>
    </w:p>
    <w:p w14:paraId="04BB885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3.2 Результаты.</w:t>
      </w:r>
    </w:p>
    <w:p w14:paraId="296AE6C6"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3.2.1 Диаграмма «цвет-зв.величина».</w:t>
      </w:r>
    </w:p>
    <w:p w14:paraId="0523F9FF"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3.2.2 Металличность.</w:t>
      </w:r>
    </w:p>
    <w:p w14:paraId="503A6AB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3.2.3 Расстояние.</w:t>
      </w:r>
    </w:p>
    <w:p w14:paraId="6C1D3929"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3.2.4 Поверхностная фотометрия.</w:t>
      </w:r>
    </w:p>
    <w:p w14:paraId="3826C0B2"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3.3 Заключительные замечания.</w:t>
      </w:r>
    </w:p>
    <w:p w14:paraId="41BB4E98"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4 Комплекс 1С 342/Maffei</w:t>
      </w:r>
    </w:p>
    <w:p w14:paraId="49C30691"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4.1 Введение</w:t>
      </w:r>
    </w:p>
    <w:p w14:paraId="59DFD159"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4.2 Результаты фотометрии и модули расстояния</w:t>
      </w:r>
    </w:p>
    <w:p w14:paraId="7A6F3A04"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4.2.1 Детальное фотометрическое исследование звездного населения галактики 1С</w:t>
      </w:r>
    </w:p>
    <w:p w14:paraId="1811A0DE" w14:textId="77777777" w:rsidR="00592263" w:rsidRPr="00592263" w:rsidRDefault="00592263" w:rsidP="00592263">
      <w:pPr>
        <w:rPr>
          <w:rFonts w:ascii="Verdana" w:hAnsi="Verdana"/>
          <w:b/>
          <w:bCs/>
          <w:color w:val="000000"/>
          <w:sz w:val="21"/>
          <w:szCs w:val="21"/>
          <w:shd w:val="clear" w:color="auto" w:fill="FFFFFF"/>
          <w:lang w:val="en-US"/>
        </w:rPr>
      </w:pPr>
      <w:r w:rsidRPr="00592263">
        <w:rPr>
          <w:rFonts w:ascii="Verdana" w:hAnsi="Verdana"/>
          <w:b/>
          <w:bCs/>
          <w:color w:val="000000"/>
          <w:sz w:val="21"/>
          <w:szCs w:val="21"/>
          <w:shd w:val="clear" w:color="auto" w:fill="FFFFFF"/>
          <w:lang w:val="en-US"/>
        </w:rPr>
        <w:t>4.2.2 UGCA</w:t>
      </w:r>
    </w:p>
    <w:p w14:paraId="77553066" w14:textId="77777777" w:rsidR="00592263" w:rsidRPr="00592263" w:rsidRDefault="00592263" w:rsidP="00592263">
      <w:pPr>
        <w:rPr>
          <w:rFonts w:ascii="Verdana" w:hAnsi="Verdana"/>
          <w:b/>
          <w:bCs/>
          <w:color w:val="000000"/>
          <w:sz w:val="21"/>
          <w:szCs w:val="21"/>
          <w:shd w:val="clear" w:color="auto" w:fill="FFFFFF"/>
          <w:lang w:val="en-US"/>
        </w:rPr>
      </w:pPr>
      <w:r w:rsidRPr="00592263">
        <w:rPr>
          <w:rFonts w:ascii="Verdana" w:hAnsi="Verdana"/>
          <w:b/>
          <w:bCs/>
          <w:color w:val="000000"/>
          <w:sz w:val="21"/>
          <w:szCs w:val="21"/>
          <w:shd w:val="clear" w:color="auto" w:fill="FFFFFF"/>
          <w:lang w:val="en-US"/>
        </w:rPr>
        <w:t>4.2.3 UGCA 92 = EGB 0427+</w:t>
      </w:r>
    </w:p>
    <w:p w14:paraId="1A2EAB66" w14:textId="77777777" w:rsidR="00592263" w:rsidRPr="00592263" w:rsidRDefault="00592263" w:rsidP="00592263">
      <w:pPr>
        <w:rPr>
          <w:rFonts w:ascii="Verdana" w:hAnsi="Verdana"/>
          <w:b/>
          <w:bCs/>
          <w:color w:val="000000"/>
          <w:sz w:val="21"/>
          <w:szCs w:val="21"/>
          <w:shd w:val="clear" w:color="auto" w:fill="FFFFFF"/>
          <w:lang w:val="en-US"/>
        </w:rPr>
      </w:pPr>
      <w:r w:rsidRPr="00592263">
        <w:rPr>
          <w:rFonts w:ascii="Verdana" w:hAnsi="Verdana"/>
          <w:b/>
          <w:bCs/>
          <w:color w:val="000000"/>
          <w:sz w:val="21"/>
          <w:szCs w:val="21"/>
          <w:shd w:val="clear" w:color="auto" w:fill="FFFFFF"/>
          <w:lang w:val="en-US"/>
        </w:rPr>
        <w:t>4.2.4 UGCA 86 = VIIZw9.</w:t>
      </w:r>
    </w:p>
    <w:p w14:paraId="0B7222BA" w14:textId="77777777" w:rsidR="00592263" w:rsidRPr="00592263" w:rsidRDefault="00592263" w:rsidP="00592263">
      <w:pPr>
        <w:rPr>
          <w:rFonts w:ascii="Verdana" w:hAnsi="Verdana"/>
          <w:b/>
          <w:bCs/>
          <w:color w:val="000000"/>
          <w:sz w:val="21"/>
          <w:szCs w:val="21"/>
          <w:shd w:val="clear" w:color="auto" w:fill="FFFFFF"/>
          <w:lang w:val="en-US"/>
        </w:rPr>
      </w:pPr>
      <w:r w:rsidRPr="00592263">
        <w:rPr>
          <w:rFonts w:ascii="Verdana" w:hAnsi="Verdana"/>
          <w:b/>
          <w:bCs/>
          <w:color w:val="000000"/>
          <w:sz w:val="21"/>
          <w:szCs w:val="21"/>
          <w:shd w:val="clear" w:color="auto" w:fill="FFFFFF"/>
          <w:lang w:val="en-US"/>
        </w:rPr>
        <w:t>4.2.5 NGC 1569 = UGC 3056 = Arp 210 = VIIZwl6.</w:t>
      </w:r>
    </w:p>
    <w:p w14:paraId="34AAF5AA" w14:textId="77777777" w:rsidR="00592263" w:rsidRPr="00592263" w:rsidRDefault="00592263" w:rsidP="00592263">
      <w:pPr>
        <w:rPr>
          <w:rFonts w:ascii="Verdana" w:hAnsi="Verdana"/>
          <w:b/>
          <w:bCs/>
          <w:color w:val="000000"/>
          <w:sz w:val="21"/>
          <w:szCs w:val="21"/>
          <w:shd w:val="clear" w:color="auto" w:fill="FFFFFF"/>
          <w:lang w:val="en-US"/>
        </w:rPr>
      </w:pPr>
      <w:r w:rsidRPr="00592263">
        <w:rPr>
          <w:rFonts w:ascii="Verdana" w:hAnsi="Verdana"/>
          <w:b/>
          <w:bCs/>
          <w:color w:val="000000"/>
          <w:sz w:val="21"/>
          <w:szCs w:val="21"/>
          <w:shd w:val="clear" w:color="auto" w:fill="FFFFFF"/>
          <w:lang w:val="en-US"/>
        </w:rPr>
        <w:t>4.2.6 Cas 1 = A0202+</w:t>
      </w:r>
    </w:p>
    <w:p w14:paraId="1D9F4829"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4.3 Параметры галактик из комплекса IC342/Maffei.</w:t>
      </w:r>
    </w:p>
    <w:p w14:paraId="02A018B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4.4 Заключительные замечания</w:t>
      </w:r>
    </w:p>
    <w:p w14:paraId="52E14427"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 Исследование структуры Местного Комплекса</w:t>
      </w:r>
    </w:p>
    <w:p w14:paraId="270068EF"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lastRenderedPageBreak/>
        <w:t>5.1 Облако в Гончих Псах (Canes Venatici).</w:t>
      </w:r>
    </w:p>
    <w:p w14:paraId="55C65E5B"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5.1.1 NGC</w:t>
      </w:r>
    </w:p>
    <w:p w14:paraId="361EB87A"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5.1.2 NGC</w:t>
      </w:r>
    </w:p>
    <w:p w14:paraId="5397FDFB"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5.1.3 NGC</w:t>
      </w:r>
    </w:p>
    <w:p w14:paraId="08F761F9"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5.1.4 NGC</w:t>
      </w:r>
    </w:p>
    <w:p w14:paraId="1576547E"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СОДЕРЖАНИЕ</w:t>
      </w:r>
    </w:p>
    <w:p w14:paraId="779420BD"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5.1.5 UGC 8331 = DDO</w:t>
      </w:r>
    </w:p>
    <w:p w14:paraId="08B8F0FE"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5.1.6 Заключительные замечания к облаку в Гончих Псах.</w:t>
      </w:r>
    </w:p>
    <w:p w14:paraId="3A01FD57"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5.2 Группа М101.</w:t>
      </w:r>
    </w:p>
    <w:p w14:paraId="7960CDDD"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5.2.1 NGC 5204 - UGC 8490 = PGC 47368 = IRAS 13274+</w:t>
      </w:r>
    </w:p>
    <w:p w14:paraId="11C6A0A2" w14:textId="77777777" w:rsidR="00592263" w:rsidRPr="00592263" w:rsidRDefault="00592263" w:rsidP="00592263">
      <w:pPr>
        <w:rPr>
          <w:rFonts w:ascii="Verdana" w:hAnsi="Verdana"/>
          <w:b/>
          <w:bCs/>
          <w:color w:val="000000"/>
          <w:sz w:val="21"/>
          <w:szCs w:val="21"/>
          <w:shd w:val="clear" w:color="auto" w:fill="FFFFFF"/>
          <w:lang w:val="en-US"/>
        </w:rPr>
      </w:pPr>
      <w:r w:rsidRPr="00592263">
        <w:rPr>
          <w:rFonts w:ascii="Verdana" w:hAnsi="Verdana"/>
          <w:b/>
          <w:bCs/>
          <w:color w:val="000000"/>
          <w:sz w:val="21"/>
          <w:szCs w:val="21"/>
          <w:shd w:val="clear" w:color="auto" w:fill="FFFFFF"/>
          <w:lang w:val="en-US"/>
        </w:rPr>
        <w:t>5.2.2 NGC 5474 - UGC 9013 = VV 344 = Arp 26 = PGC 50216 = IRAS 14031+</w:t>
      </w:r>
    </w:p>
    <w:p w14:paraId="0C0D1862"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5.2.3 NGC 5585 = UGC 9179 = KIG 624 = PGC 51210 = IRAS 14181+</w:t>
      </w:r>
    </w:p>
    <w:p w14:paraId="6D6D1D8C" w14:textId="77777777" w:rsidR="00592263" w:rsidRPr="00592263" w:rsidRDefault="00592263" w:rsidP="00592263">
      <w:pPr>
        <w:rPr>
          <w:rFonts w:ascii="Verdana" w:hAnsi="Verdana"/>
          <w:b/>
          <w:bCs/>
          <w:color w:val="000000"/>
          <w:sz w:val="21"/>
          <w:szCs w:val="21"/>
          <w:shd w:val="clear" w:color="auto" w:fill="FFFFFF"/>
        </w:rPr>
      </w:pPr>
      <w:r w:rsidRPr="00592263">
        <w:rPr>
          <w:rFonts w:ascii="Verdana" w:hAnsi="Verdana"/>
          <w:b/>
          <w:bCs/>
          <w:color w:val="000000"/>
          <w:sz w:val="21"/>
          <w:szCs w:val="21"/>
          <w:shd w:val="clear" w:color="auto" w:fill="FFFFFF"/>
        </w:rPr>
        <w:t>5.3 Заключительные замечания о группе M 101.</w:t>
      </w:r>
    </w:p>
    <w:p w14:paraId="54F2B699" w14:textId="79F8E56E" w:rsidR="00F505A7" w:rsidRPr="00592263" w:rsidRDefault="00F505A7" w:rsidP="00592263"/>
    <w:sectPr w:rsidR="00F505A7" w:rsidRPr="005922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6064" w14:textId="77777777" w:rsidR="006A46D2" w:rsidRDefault="006A46D2">
      <w:pPr>
        <w:spacing w:after="0" w:line="240" w:lineRule="auto"/>
      </w:pPr>
      <w:r>
        <w:separator/>
      </w:r>
    </w:p>
  </w:endnote>
  <w:endnote w:type="continuationSeparator" w:id="0">
    <w:p w14:paraId="39F83188" w14:textId="77777777" w:rsidR="006A46D2" w:rsidRDefault="006A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8D91" w14:textId="77777777" w:rsidR="006A46D2" w:rsidRDefault="006A46D2"/>
    <w:p w14:paraId="71F9A247" w14:textId="77777777" w:rsidR="006A46D2" w:rsidRDefault="006A46D2"/>
    <w:p w14:paraId="10D37D40" w14:textId="77777777" w:rsidR="006A46D2" w:rsidRDefault="006A46D2"/>
    <w:p w14:paraId="1C78BE38" w14:textId="77777777" w:rsidR="006A46D2" w:rsidRDefault="006A46D2"/>
    <w:p w14:paraId="5F262623" w14:textId="77777777" w:rsidR="006A46D2" w:rsidRDefault="006A46D2"/>
    <w:p w14:paraId="5591E49B" w14:textId="77777777" w:rsidR="006A46D2" w:rsidRDefault="006A46D2"/>
    <w:p w14:paraId="58FBEA9E" w14:textId="77777777" w:rsidR="006A46D2" w:rsidRDefault="006A46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878AA7" wp14:editId="61DF13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D1224" w14:textId="77777777" w:rsidR="006A46D2" w:rsidRDefault="006A46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878A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0D1224" w14:textId="77777777" w:rsidR="006A46D2" w:rsidRDefault="006A46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64A735" w14:textId="77777777" w:rsidR="006A46D2" w:rsidRDefault="006A46D2"/>
    <w:p w14:paraId="576F871A" w14:textId="77777777" w:rsidR="006A46D2" w:rsidRDefault="006A46D2"/>
    <w:p w14:paraId="6C9ECB08" w14:textId="77777777" w:rsidR="006A46D2" w:rsidRDefault="006A46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F10A0F" wp14:editId="4B1BBC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EC6C5" w14:textId="77777777" w:rsidR="006A46D2" w:rsidRDefault="006A46D2"/>
                          <w:p w14:paraId="6B0C4EC0" w14:textId="77777777" w:rsidR="006A46D2" w:rsidRDefault="006A46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10A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EC6C5" w14:textId="77777777" w:rsidR="006A46D2" w:rsidRDefault="006A46D2"/>
                    <w:p w14:paraId="6B0C4EC0" w14:textId="77777777" w:rsidR="006A46D2" w:rsidRDefault="006A46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DFE2E6" w14:textId="77777777" w:rsidR="006A46D2" w:rsidRDefault="006A46D2"/>
    <w:p w14:paraId="0210681A" w14:textId="77777777" w:rsidR="006A46D2" w:rsidRDefault="006A46D2">
      <w:pPr>
        <w:rPr>
          <w:sz w:val="2"/>
          <w:szCs w:val="2"/>
        </w:rPr>
      </w:pPr>
    </w:p>
    <w:p w14:paraId="4A76590E" w14:textId="77777777" w:rsidR="006A46D2" w:rsidRDefault="006A46D2"/>
    <w:p w14:paraId="39433CFD" w14:textId="77777777" w:rsidR="006A46D2" w:rsidRDefault="006A46D2">
      <w:pPr>
        <w:spacing w:after="0" w:line="240" w:lineRule="auto"/>
      </w:pPr>
    </w:p>
  </w:footnote>
  <w:footnote w:type="continuationSeparator" w:id="0">
    <w:p w14:paraId="48C3441E" w14:textId="77777777" w:rsidR="006A46D2" w:rsidRDefault="006A4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6D2"/>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107739</TotalTime>
  <Pages>3</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1568</cp:revision>
  <cp:lastPrinted>2009-02-06T05:36:00Z</cp:lastPrinted>
  <dcterms:created xsi:type="dcterms:W3CDTF">2024-01-07T13:43:00Z</dcterms:created>
  <dcterms:modified xsi:type="dcterms:W3CDTF">2025-06-07T12:57:00Z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