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7FF29" w14:textId="5F010DB7" w:rsidR="00D33C7F" w:rsidRDefault="00E754BA" w:rsidP="00E754BA">
      <w:proofErr w:type="spellStart"/>
      <w:r w:rsidRPr="00E754BA">
        <w:rPr>
          <w:rFonts w:hint="eastAsia"/>
        </w:rPr>
        <w:t>Мамедли</w:t>
      </w:r>
      <w:proofErr w:type="spellEnd"/>
      <w:r w:rsidRPr="00E754BA">
        <w:t xml:space="preserve"> </w:t>
      </w:r>
      <w:proofErr w:type="spellStart"/>
      <w:r w:rsidRPr="00E754BA">
        <w:rPr>
          <w:rFonts w:hint="eastAsia"/>
        </w:rPr>
        <w:t>Мариам</w:t>
      </w:r>
      <w:proofErr w:type="spellEnd"/>
      <w:r w:rsidRPr="00E754BA">
        <w:t xml:space="preserve"> </w:t>
      </w:r>
      <w:proofErr w:type="spellStart"/>
      <w:r w:rsidRPr="00E754BA">
        <w:rPr>
          <w:rFonts w:hint="eastAsia"/>
        </w:rPr>
        <w:t>Октаевна</w:t>
      </w:r>
      <w:proofErr w:type="spellEnd"/>
      <w:r>
        <w:t xml:space="preserve"> </w:t>
      </w:r>
      <w:proofErr w:type="spellStart"/>
      <w:r w:rsidRPr="00E754BA">
        <w:rPr>
          <w:rFonts w:hint="eastAsia"/>
        </w:rPr>
        <w:t>Пенсионная</w:t>
      </w:r>
      <w:proofErr w:type="spellEnd"/>
      <w:r w:rsidRPr="00E754BA">
        <w:t xml:space="preserve"> </w:t>
      </w:r>
      <w:proofErr w:type="spellStart"/>
      <w:r w:rsidRPr="00E754BA">
        <w:rPr>
          <w:rFonts w:hint="eastAsia"/>
        </w:rPr>
        <w:t>система</w:t>
      </w:r>
      <w:proofErr w:type="spellEnd"/>
      <w:r w:rsidRPr="00E754BA">
        <w:t xml:space="preserve"> </w:t>
      </w:r>
      <w:r w:rsidRPr="00E754BA">
        <w:rPr>
          <w:rFonts w:hint="eastAsia"/>
        </w:rPr>
        <w:t>и</w:t>
      </w:r>
      <w:r w:rsidRPr="00E754BA">
        <w:t xml:space="preserve"> </w:t>
      </w:r>
      <w:proofErr w:type="spellStart"/>
      <w:r w:rsidRPr="00E754BA">
        <w:rPr>
          <w:rFonts w:hint="eastAsia"/>
        </w:rPr>
        <w:t>фискальная</w:t>
      </w:r>
      <w:proofErr w:type="spellEnd"/>
      <w:r w:rsidRPr="00E754BA">
        <w:t xml:space="preserve"> </w:t>
      </w:r>
      <w:proofErr w:type="spellStart"/>
      <w:r w:rsidRPr="00E754BA">
        <w:rPr>
          <w:rFonts w:hint="eastAsia"/>
        </w:rPr>
        <w:t>политика</w:t>
      </w:r>
      <w:proofErr w:type="spellEnd"/>
      <w:r w:rsidRPr="00E754BA">
        <w:t xml:space="preserve"> </w:t>
      </w:r>
      <w:r w:rsidRPr="00E754BA">
        <w:rPr>
          <w:rFonts w:hint="eastAsia"/>
        </w:rPr>
        <w:t>в</w:t>
      </w:r>
      <w:r w:rsidRPr="00E754BA">
        <w:t xml:space="preserve"> </w:t>
      </w:r>
      <w:proofErr w:type="spellStart"/>
      <w:r w:rsidRPr="00E754BA">
        <w:rPr>
          <w:rFonts w:hint="eastAsia"/>
        </w:rPr>
        <w:t>экономике</w:t>
      </w:r>
      <w:proofErr w:type="spellEnd"/>
      <w:r w:rsidRPr="00E754BA">
        <w:t xml:space="preserve"> </w:t>
      </w:r>
      <w:r w:rsidRPr="00E754BA">
        <w:rPr>
          <w:rFonts w:hint="eastAsia"/>
        </w:rPr>
        <w:t>с</w:t>
      </w:r>
      <w:r w:rsidRPr="00E754BA">
        <w:t xml:space="preserve"> </w:t>
      </w:r>
      <w:proofErr w:type="spellStart"/>
      <w:r w:rsidRPr="00E754BA">
        <w:rPr>
          <w:rFonts w:hint="eastAsia"/>
        </w:rPr>
        <w:t>неоднородными</w:t>
      </w:r>
      <w:proofErr w:type="spellEnd"/>
      <w:r w:rsidRPr="00E754BA">
        <w:t xml:space="preserve"> </w:t>
      </w:r>
      <w:proofErr w:type="spellStart"/>
      <w:r w:rsidRPr="00E754BA">
        <w:rPr>
          <w:rFonts w:hint="eastAsia"/>
        </w:rPr>
        <w:t>агентами</w:t>
      </w:r>
      <w:proofErr w:type="spellEnd"/>
    </w:p>
    <w:p w14:paraId="7FB536E1" w14:textId="77777777" w:rsidR="00E754BA" w:rsidRDefault="00E754BA" w:rsidP="00E754BA">
      <w:r>
        <w:rPr>
          <w:rFonts w:hint="eastAsia"/>
        </w:rPr>
        <w:t>ОГЛАВЛЕНИЕ</w:t>
      </w:r>
      <w:r>
        <w:t xml:space="preserve"> </w:t>
      </w:r>
      <w:r>
        <w:rPr>
          <w:rFonts w:hint="eastAsia"/>
        </w:rPr>
        <w:t>ДИССЕРТАЦИИ</w:t>
      </w:r>
    </w:p>
    <w:p w14:paraId="66074647" w14:textId="77777777" w:rsidR="00E754BA" w:rsidRDefault="00E754BA" w:rsidP="00E754BA">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Мамедли</w:t>
      </w:r>
      <w:proofErr w:type="spellEnd"/>
      <w:r>
        <w:t xml:space="preserve"> </w:t>
      </w:r>
      <w:proofErr w:type="spellStart"/>
      <w:r>
        <w:rPr>
          <w:rFonts w:hint="eastAsia"/>
        </w:rPr>
        <w:t>Мариам</w:t>
      </w:r>
      <w:proofErr w:type="spellEnd"/>
      <w:r>
        <w:t xml:space="preserve"> </w:t>
      </w:r>
      <w:proofErr w:type="spellStart"/>
      <w:r>
        <w:rPr>
          <w:rFonts w:hint="eastAsia"/>
        </w:rPr>
        <w:t>Октаевна</w:t>
      </w:r>
      <w:proofErr w:type="spellEnd"/>
    </w:p>
    <w:p w14:paraId="40200B67" w14:textId="77777777" w:rsidR="00E754BA" w:rsidRDefault="00E754BA" w:rsidP="00E754BA">
      <w:r>
        <w:t>Table of Contents</w:t>
      </w:r>
    </w:p>
    <w:p w14:paraId="286240B1" w14:textId="77777777" w:rsidR="00E754BA" w:rsidRDefault="00E754BA" w:rsidP="00E754BA"/>
    <w:p w14:paraId="5C588AB5" w14:textId="77777777" w:rsidR="00E754BA" w:rsidRDefault="00E754BA" w:rsidP="00E754BA">
      <w:r>
        <w:t>Introduction</w:t>
      </w:r>
    </w:p>
    <w:p w14:paraId="4BCE3BBD" w14:textId="77777777" w:rsidR="00E754BA" w:rsidRDefault="00E754BA" w:rsidP="00E754BA"/>
    <w:p w14:paraId="41D69069" w14:textId="77777777" w:rsidR="00E754BA" w:rsidRDefault="00E754BA" w:rsidP="00E754BA">
      <w:r>
        <w:t>Chapter 1. Pension systems in OECD countries and in Russia</w:t>
      </w:r>
    </w:p>
    <w:p w14:paraId="5F6EE24F" w14:textId="77777777" w:rsidR="00E754BA" w:rsidRDefault="00E754BA" w:rsidP="00E754BA"/>
    <w:p w14:paraId="3BECEC8E" w14:textId="77777777" w:rsidR="00E754BA" w:rsidRDefault="00E754BA" w:rsidP="00E754BA">
      <w:r>
        <w:t>1.1. Introduction</w:t>
      </w:r>
    </w:p>
    <w:p w14:paraId="0B3BE718" w14:textId="77777777" w:rsidR="00E754BA" w:rsidRDefault="00E754BA" w:rsidP="00E754BA"/>
    <w:p w14:paraId="141D3F97" w14:textId="77777777" w:rsidR="00E754BA" w:rsidRDefault="00E754BA" w:rsidP="00E754BA">
      <w:r>
        <w:t>1.2. Overview of pension systems and recent pension reforms</w:t>
      </w:r>
    </w:p>
    <w:p w14:paraId="411D3C5A" w14:textId="77777777" w:rsidR="00E754BA" w:rsidRDefault="00E754BA" w:rsidP="00E754BA"/>
    <w:p w14:paraId="19A120E3" w14:textId="77777777" w:rsidR="00E754BA" w:rsidRDefault="00E754BA" w:rsidP="00E754BA">
      <w:r>
        <w:t>1.2.1. Key types of pension systems</w:t>
      </w:r>
    </w:p>
    <w:p w14:paraId="55777649" w14:textId="77777777" w:rsidR="00E754BA" w:rsidRDefault="00E754BA" w:rsidP="00E754BA"/>
    <w:p w14:paraId="6301B5D8" w14:textId="77777777" w:rsidR="00E754BA" w:rsidRDefault="00E754BA" w:rsidP="00E754BA">
      <w:r>
        <w:t>1.2.2. Recent pension reforms in OECD countries</w:t>
      </w:r>
    </w:p>
    <w:p w14:paraId="53AA0BD0" w14:textId="77777777" w:rsidR="00E754BA" w:rsidRDefault="00E754BA" w:rsidP="00E754BA"/>
    <w:p w14:paraId="3D941D6E" w14:textId="77777777" w:rsidR="00E754BA" w:rsidRDefault="00E754BA" w:rsidP="00E754BA">
      <w:r>
        <w:t>1.2.3. Adequacy of the retirement income and income inequality in Russia</w:t>
      </w:r>
    </w:p>
    <w:p w14:paraId="7639C9E4" w14:textId="77777777" w:rsidR="00E754BA" w:rsidRDefault="00E754BA" w:rsidP="00E754BA"/>
    <w:p w14:paraId="2203343B" w14:textId="77777777" w:rsidR="00E754BA" w:rsidRDefault="00E754BA" w:rsidP="00E754BA">
      <w:r>
        <w:t>1.2.4. Projections of public pension expenditure in OECD and G20 countries</w:t>
      </w:r>
    </w:p>
    <w:p w14:paraId="6FF76D68" w14:textId="77777777" w:rsidR="00E754BA" w:rsidRDefault="00E754BA" w:rsidP="00E754BA"/>
    <w:p w14:paraId="022D34E8" w14:textId="77777777" w:rsidR="00E754BA" w:rsidRDefault="00E754BA" w:rsidP="00E754BA">
      <w:r>
        <w:t>1.3. Pension system in Russia: challenges, projections and policy implications</w:t>
      </w:r>
    </w:p>
    <w:p w14:paraId="1B536128" w14:textId="77777777" w:rsidR="00E754BA" w:rsidRDefault="00E754BA" w:rsidP="00E754BA"/>
    <w:p w14:paraId="68C2E9D6" w14:textId="77777777" w:rsidR="00E754BA" w:rsidRDefault="00E754BA" w:rsidP="00E754BA">
      <w:r>
        <w:t>1.3.1. Population forecasts</w:t>
      </w:r>
    </w:p>
    <w:p w14:paraId="1891B154" w14:textId="77777777" w:rsidR="00E754BA" w:rsidRDefault="00E754BA" w:rsidP="00E754BA"/>
    <w:p w14:paraId="284C9D4A" w14:textId="77777777" w:rsidR="00E754BA" w:rsidRDefault="00E754BA" w:rsidP="00E754BA">
      <w:r>
        <w:t>1.3.2. Recent pension reforms in Russia</w:t>
      </w:r>
    </w:p>
    <w:p w14:paraId="1E3AD516" w14:textId="77777777" w:rsidR="00E754BA" w:rsidRDefault="00E754BA" w:rsidP="00E754BA"/>
    <w:p w14:paraId="520D5F1E" w14:textId="77777777" w:rsidR="00E754BA" w:rsidRDefault="00E754BA" w:rsidP="00E754BA">
      <w:r>
        <w:t>1.3.3. Challenges for public finance</w:t>
      </w:r>
    </w:p>
    <w:p w14:paraId="6606EF97" w14:textId="77777777" w:rsidR="00E754BA" w:rsidRDefault="00E754BA" w:rsidP="00E754BA"/>
    <w:p w14:paraId="33227110" w14:textId="77777777" w:rsidR="00E754BA" w:rsidRDefault="00E754BA" w:rsidP="00E754BA">
      <w:r>
        <w:lastRenderedPageBreak/>
        <w:t>1.3.4. Scenario analysis of pension expenditures and policy implications</w:t>
      </w:r>
    </w:p>
    <w:p w14:paraId="4B583A4B" w14:textId="77777777" w:rsidR="00E754BA" w:rsidRDefault="00E754BA" w:rsidP="00E754BA"/>
    <w:p w14:paraId="12C13407" w14:textId="77777777" w:rsidR="00E754BA" w:rsidRDefault="00E754BA" w:rsidP="00E754BA">
      <w:r>
        <w:t>1.4. Conclusion</w:t>
      </w:r>
    </w:p>
    <w:p w14:paraId="18F5AFC9" w14:textId="77777777" w:rsidR="00E754BA" w:rsidRDefault="00E754BA" w:rsidP="00E754BA"/>
    <w:p w14:paraId="24657130" w14:textId="77777777" w:rsidR="00E754BA" w:rsidRDefault="00E754BA" w:rsidP="00E754BA">
      <w:r>
        <w:t>Chapter 2. Fiscal multiplier and the role of non-Ricardian agents</w:t>
      </w:r>
    </w:p>
    <w:p w14:paraId="62B3F6A2" w14:textId="77777777" w:rsidR="00E754BA" w:rsidRDefault="00E754BA" w:rsidP="00E754BA"/>
    <w:p w14:paraId="2D098789" w14:textId="77777777" w:rsidR="00E754BA" w:rsidRDefault="00E754BA" w:rsidP="00E754BA">
      <w:r>
        <w:t>2.1. Introduction</w:t>
      </w:r>
    </w:p>
    <w:p w14:paraId="61A14EB6" w14:textId="77777777" w:rsidR="00E754BA" w:rsidRDefault="00E754BA" w:rsidP="00E754BA"/>
    <w:p w14:paraId="045581F3" w14:textId="77777777" w:rsidR="00E754BA" w:rsidRDefault="00E754BA" w:rsidP="00E754BA">
      <w:r>
        <w:t>2.2. The model</w:t>
      </w:r>
    </w:p>
    <w:p w14:paraId="5F66F4FB" w14:textId="77777777" w:rsidR="00E754BA" w:rsidRDefault="00E754BA" w:rsidP="00E754BA"/>
    <w:p w14:paraId="0BD139BF" w14:textId="77777777" w:rsidR="00E754BA" w:rsidRDefault="00E754BA" w:rsidP="00E754BA">
      <w:r>
        <w:t>2.2.1. Households</w:t>
      </w:r>
    </w:p>
    <w:p w14:paraId="74A111D3" w14:textId="77777777" w:rsidR="00E754BA" w:rsidRDefault="00E754BA" w:rsidP="00E754BA"/>
    <w:p w14:paraId="6235C9C1" w14:textId="77777777" w:rsidR="00E754BA" w:rsidRDefault="00E754BA" w:rsidP="00E754BA">
      <w:r>
        <w:t>2.2.2. Firms</w:t>
      </w:r>
    </w:p>
    <w:p w14:paraId="4489E5ED" w14:textId="77777777" w:rsidR="00E754BA" w:rsidRDefault="00E754BA" w:rsidP="00E754BA"/>
    <w:p w14:paraId="794695C1" w14:textId="77777777" w:rsidR="00E754BA" w:rsidRDefault="00E754BA" w:rsidP="00E754BA">
      <w:r>
        <w:t>2.2.3. Monetary and fiscal policy</w:t>
      </w:r>
    </w:p>
    <w:p w14:paraId="23EBF318" w14:textId="77777777" w:rsidR="00E754BA" w:rsidRDefault="00E754BA" w:rsidP="00E754BA"/>
    <w:p w14:paraId="2DD99B70" w14:textId="77777777" w:rsidR="00E754BA" w:rsidRDefault="00E754BA" w:rsidP="00E754BA">
      <w:r>
        <w:t>2.2.4. Steady state</w:t>
      </w:r>
    </w:p>
    <w:p w14:paraId="102CE89D" w14:textId="77777777" w:rsidR="00E754BA" w:rsidRDefault="00E754BA" w:rsidP="00E754BA"/>
    <w:p w14:paraId="25E4891B" w14:textId="77777777" w:rsidR="00E754BA" w:rsidRDefault="00E754BA" w:rsidP="00E754BA">
      <w:r>
        <w:t>2.3. Fiscal multiplier and comparative statics</w:t>
      </w:r>
    </w:p>
    <w:p w14:paraId="4B6CA1E1" w14:textId="77777777" w:rsidR="00E754BA" w:rsidRDefault="00E754BA" w:rsidP="00E754BA"/>
    <w:p w14:paraId="218B231C" w14:textId="77777777" w:rsidR="00E754BA" w:rsidRDefault="00E754BA" w:rsidP="00E754BA">
      <w:r>
        <w:t>2.3.1. Deleveraging shock</w:t>
      </w:r>
    </w:p>
    <w:p w14:paraId="71CEB200" w14:textId="77777777" w:rsidR="00E754BA" w:rsidRDefault="00E754BA" w:rsidP="00E754BA"/>
    <w:p w14:paraId="218F991F" w14:textId="77777777" w:rsidR="00E754BA" w:rsidRDefault="00E754BA" w:rsidP="00E754BA">
      <w:r>
        <w:t>2.3.2. Fiscal multiplier under a positive nominal interest rate</w:t>
      </w:r>
    </w:p>
    <w:p w14:paraId="1CF1FC20" w14:textId="77777777" w:rsidR="00E754BA" w:rsidRDefault="00E754BA" w:rsidP="00E754BA"/>
    <w:p w14:paraId="0A622481" w14:textId="77777777" w:rsidR="00E754BA" w:rsidRDefault="00E754BA" w:rsidP="00E754BA">
      <w:r>
        <w:t>2.3.3. Fiscal multiplier under zero lower bound</w:t>
      </w:r>
    </w:p>
    <w:p w14:paraId="721F2A46" w14:textId="77777777" w:rsidR="00E754BA" w:rsidRDefault="00E754BA" w:rsidP="00E754BA"/>
    <w:p w14:paraId="30A5AF39" w14:textId="77777777" w:rsidR="00E754BA" w:rsidRDefault="00E754BA" w:rsidP="00E754BA">
      <w:r>
        <w:t>2.3.4. Comparison of the two cases: the role of zero lower bound</w:t>
      </w:r>
    </w:p>
    <w:p w14:paraId="5F3FF7D8" w14:textId="77777777" w:rsidR="00E754BA" w:rsidRDefault="00E754BA" w:rsidP="00E754BA"/>
    <w:p w14:paraId="34140704" w14:textId="77777777" w:rsidR="00E754BA" w:rsidRDefault="00E754BA" w:rsidP="00E754BA">
      <w:r>
        <w:t>2.4. Conclusion</w:t>
      </w:r>
    </w:p>
    <w:p w14:paraId="7F5DED5B" w14:textId="77777777" w:rsidR="00E754BA" w:rsidRDefault="00E754BA" w:rsidP="00E754BA"/>
    <w:p w14:paraId="5167B225" w14:textId="77777777" w:rsidR="00E754BA" w:rsidRDefault="00E754BA" w:rsidP="00E754BA">
      <w:r>
        <w:t>Chapter 3. Optimal fiscal policy under an unbalanced pension system and the role of non-</w:t>
      </w:r>
      <w:r>
        <w:lastRenderedPageBreak/>
        <w:t>Ricardian agents</w:t>
      </w:r>
    </w:p>
    <w:p w14:paraId="122A1979" w14:textId="77777777" w:rsidR="00E754BA" w:rsidRDefault="00E754BA" w:rsidP="00E754BA"/>
    <w:p w14:paraId="741FFD3D" w14:textId="77777777" w:rsidR="00E754BA" w:rsidRDefault="00E754BA" w:rsidP="00E754BA">
      <w:r>
        <w:t>3.1. Introduction</w:t>
      </w:r>
    </w:p>
    <w:p w14:paraId="0A42F58A" w14:textId="77777777" w:rsidR="00E754BA" w:rsidRDefault="00E754BA" w:rsidP="00E754BA"/>
    <w:p w14:paraId="45D263A8" w14:textId="77777777" w:rsidR="00E754BA" w:rsidRDefault="00E754BA" w:rsidP="00E754BA">
      <w:r>
        <w:t>3.2. The model with Ricardian and non-Ricardian consumers</w:t>
      </w:r>
    </w:p>
    <w:p w14:paraId="33460A89" w14:textId="77777777" w:rsidR="00E754BA" w:rsidRDefault="00E754BA" w:rsidP="00E754BA"/>
    <w:p w14:paraId="210EEFD4" w14:textId="77777777" w:rsidR="00E754BA" w:rsidRDefault="00E754BA" w:rsidP="00E754BA">
      <w:r>
        <w:t>3.2.1. Ricardian and non-Ricardian households</w:t>
      </w:r>
    </w:p>
    <w:p w14:paraId="55136B7C" w14:textId="77777777" w:rsidR="00E754BA" w:rsidRDefault="00E754BA" w:rsidP="00E754BA"/>
    <w:p w14:paraId="650F5B39" w14:textId="77777777" w:rsidR="00E754BA" w:rsidRDefault="00E754BA" w:rsidP="00E754BA">
      <w:r>
        <w:t>3.2.2. Demography and aggregate household sector</w:t>
      </w:r>
    </w:p>
    <w:p w14:paraId="192B781F" w14:textId="77777777" w:rsidR="00E754BA" w:rsidRDefault="00E754BA" w:rsidP="00E754BA"/>
    <w:p w14:paraId="33ABEBA5" w14:textId="77777777" w:rsidR="00E754BA" w:rsidRDefault="00E754BA" w:rsidP="00E754BA">
      <w:r>
        <w:t>3.2.3. Firms</w:t>
      </w:r>
    </w:p>
    <w:p w14:paraId="657BDD20" w14:textId="77777777" w:rsidR="00E754BA" w:rsidRDefault="00E754BA" w:rsidP="00E754BA"/>
    <w:p w14:paraId="5BDEF9B4" w14:textId="77777777" w:rsidR="00E754BA" w:rsidRDefault="00E754BA" w:rsidP="00E754BA">
      <w:r>
        <w:t>3.2.4. Public sector</w:t>
      </w:r>
    </w:p>
    <w:p w14:paraId="141E4982" w14:textId="77777777" w:rsidR="00E754BA" w:rsidRDefault="00E754BA" w:rsidP="00E754BA"/>
    <w:p w14:paraId="68F6AEE8" w14:textId="77777777" w:rsidR="00E754BA" w:rsidRDefault="00E754BA" w:rsidP="00E754BA">
      <w:r>
        <w:t>3.3. Model summary and social welfare</w:t>
      </w:r>
    </w:p>
    <w:p w14:paraId="5AA0DA57" w14:textId="77777777" w:rsidR="00E754BA" w:rsidRDefault="00E754BA" w:rsidP="00E754BA"/>
    <w:p w14:paraId="67E51033" w14:textId="77777777" w:rsidR="00E754BA" w:rsidRDefault="00E754BA" w:rsidP="00E754BA">
      <w:r>
        <w:t>3.4. Calibration</w:t>
      </w:r>
    </w:p>
    <w:p w14:paraId="59AB5123" w14:textId="77777777" w:rsidR="00E754BA" w:rsidRDefault="00E754BA" w:rsidP="00E754BA"/>
    <w:p w14:paraId="1C54990A" w14:textId="77777777" w:rsidR="00E754BA" w:rsidRDefault="00E754BA" w:rsidP="00E754BA">
      <w:r>
        <w:t>3.5. Optimal fiscal policy instruments in a homogeneous economy</w:t>
      </w:r>
    </w:p>
    <w:p w14:paraId="747FC8A1" w14:textId="77777777" w:rsidR="00E754BA" w:rsidRDefault="00E754BA" w:rsidP="00E754BA"/>
    <w:p w14:paraId="6540CAF0" w14:textId="77777777" w:rsidR="00E754BA" w:rsidRDefault="00E754BA" w:rsidP="00E754BA">
      <w:r>
        <w:t>3.5.1. Policy instruments under unbalanced pension system depending on the retirement age</w:t>
      </w:r>
    </w:p>
    <w:p w14:paraId="01B63C2C" w14:textId="77777777" w:rsidR="00E754BA" w:rsidRDefault="00E754BA" w:rsidP="00E754BA"/>
    <w:p w14:paraId="472F1570" w14:textId="77777777" w:rsidR="00E754BA" w:rsidRDefault="00E754BA" w:rsidP="00E754BA">
      <w:r>
        <w:t>3.5.2. Optimal policy under balanced and unbalanced pension system</w:t>
      </w:r>
    </w:p>
    <w:p w14:paraId="74563F08" w14:textId="77777777" w:rsidR="00E754BA" w:rsidRDefault="00E754BA" w:rsidP="00E754BA"/>
    <w:p w14:paraId="2BBD027B" w14:textId="77777777" w:rsidR="00E754BA" w:rsidRDefault="00E754BA" w:rsidP="00E754BA">
      <w:r>
        <w:t>3.5.3. Robustness check: life expectancy and labor productivity</w:t>
      </w:r>
    </w:p>
    <w:p w14:paraId="0D14E3CE" w14:textId="77777777" w:rsidR="00E754BA" w:rsidRDefault="00E754BA" w:rsidP="00E754BA"/>
    <w:p w14:paraId="7574155F" w14:textId="77777777" w:rsidR="00E754BA" w:rsidRDefault="00E754BA" w:rsidP="00E754BA">
      <w:r>
        <w:t>3.6. Optimal fiscal instruments: the role of non-Ricardian agents</w:t>
      </w:r>
    </w:p>
    <w:p w14:paraId="0164DEEB" w14:textId="77777777" w:rsidR="00E754BA" w:rsidRDefault="00E754BA" w:rsidP="00E754BA"/>
    <w:p w14:paraId="15C88529" w14:textId="77777777" w:rsidR="00E754BA" w:rsidRDefault="00E754BA" w:rsidP="00E754BA">
      <w:r>
        <w:t>3.6.1. Optimal income tax</w:t>
      </w:r>
    </w:p>
    <w:p w14:paraId="48A93AAE" w14:textId="77777777" w:rsidR="00E754BA" w:rsidRDefault="00E754BA" w:rsidP="00E754BA"/>
    <w:p w14:paraId="1F3D00D0" w14:textId="77777777" w:rsidR="00E754BA" w:rsidRDefault="00E754BA" w:rsidP="00E754BA">
      <w:r>
        <w:t>3.6.2. Optimal tax instruments under an unbalanced pension system</w:t>
      </w:r>
    </w:p>
    <w:p w14:paraId="0254F466" w14:textId="77777777" w:rsidR="00E754BA" w:rsidRDefault="00E754BA" w:rsidP="00E754BA"/>
    <w:p w14:paraId="10308F73" w14:textId="77777777" w:rsidR="00E754BA" w:rsidRDefault="00E754BA" w:rsidP="00E754BA">
      <w:r>
        <w:t>3.6.3. Optimal public spending and the share of non-Ricardian consumers</w:t>
      </w:r>
    </w:p>
    <w:p w14:paraId="31FBF091" w14:textId="77777777" w:rsidR="00E754BA" w:rsidRDefault="00E754BA" w:rsidP="00E754BA"/>
    <w:p w14:paraId="2948C797" w14:textId="77777777" w:rsidR="00E754BA" w:rsidRDefault="00E754BA" w:rsidP="00E754BA">
      <w:r>
        <w:t>3.6.4. Optimal fiscal instruments if discrimination is possible</w:t>
      </w:r>
    </w:p>
    <w:p w14:paraId="681DA852" w14:textId="77777777" w:rsidR="00E754BA" w:rsidRDefault="00E754BA" w:rsidP="00E754BA"/>
    <w:p w14:paraId="54CF4208" w14:textId="77777777" w:rsidR="00E754BA" w:rsidRDefault="00E754BA" w:rsidP="00E754BA">
      <w:r>
        <w:t>3.7. Conclusion</w:t>
      </w:r>
    </w:p>
    <w:p w14:paraId="2E250A7E" w14:textId="77777777" w:rsidR="00E754BA" w:rsidRDefault="00E754BA" w:rsidP="00E754BA"/>
    <w:p w14:paraId="5E105897" w14:textId="77777777" w:rsidR="00E754BA" w:rsidRDefault="00E754BA" w:rsidP="00E754BA">
      <w:r>
        <w:t>References</w:t>
      </w:r>
    </w:p>
    <w:p w14:paraId="34238A5F" w14:textId="77777777" w:rsidR="00E754BA" w:rsidRDefault="00E754BA" w:rsidP="00E754BA"/>
    <w:p w14:paraId="52803F78" w14:textId="77777777" w:rsidR="00E754BA" w:rsidRDefault="00E754BA" w:rsidP="00E754BA">
      <w:r>
        <w:t>Appendix</w:t>
      </w:r>
    </w:p>
    <w:p w14:paraId="1D0FBA15" w14:textId="77777777" w:rsidR="00E754BA" w:rsidRDefault="00E754BA" w:rsidP="00E754BA"/>
    <w:p w14:paraId="0684A7B4" w14:textId="7F628926" w:rsidR="00E754BA" w:rsidRPr="00E754BA" w:rsidRDefault="00E754BA" w:rsidP="00E754BA">
      <w:r>
        <w:t>Appendix</w:t>
      </w:r>
    </w:p>
    <w:sectPr w:rsidR="00E754BA" w:rsidRPr="00E754BA" w:rsidSect="00B954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D9FE" w14:textId="77777777" w:rsidR="00B954DA" w:rsidRDefault="00B954DA">
      <w:pPr>
        <w:spacing w:after="0" w:line="240" w:lineRule="auto"/>
      </w:pPr>
      <w:r>
        <w:separator/>
      </w:r>
    </w:p>
  </w:endnote>
  <w:endnote w:type="continuationSeparator" w:id="0">
    <w:p w14:paraId="0C1849CB" w14:textId="77777777" w:rsidR="00B954DA" w:rsidRDefault="00B9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9584" w14:textId="77777777" w:rsidR="00B954DA" w:rsidRDefault="00B954DA"/>
    <w:p w14:paraId="161FF140" w14:textId="77777777" w:rsidR="00B954DA" w:rsidRDefault="00B954DA"/>
    <w:p w14:paraId="6276E74F" w14:textId="77777777" w:rsidR="00B954DA" w:rsidRDefault="00B954DA"/>
    <w:p w14:paraId="0694B159" w14:textId="77777777" w:rsidR="00B954DA" w:rsidRDefault="00B954DA"/>
    <w:p w14:paraId="1164492D" w14:textId="77777777" w:rsidR="00B954DA" w:rsidRDefault="00B954DA"/>
    <w:p w14:paraId="4F57EC68" w14:textId="77777777" w:rsidR="00B954DA" w:rsidRDefault="00B954DA"/>
    <w:p w14:paraId="7B15404C" w14:textId="77777777" w:rsidR="00B954DA" w:rsidRDefault="00B954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27DED7" wp14:editId="119C96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F82A" w14:textId="77777777" w:rsidR="00B954DA" w:rsidRDefault="00B95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7DE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DEF82A" w14:textId="77777777" w:rsidR="00B954DA" w:rsidRDefault="00B95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50A0BD" w14:textId="77777777" w:rsidR="00B954DA" w:rsidRDefault="00B954DA"/>
    <w:p w14:paraId="253359B0" w14:textId="77777777" w:rsidR="00B954DA" w:rsidRDefault="00B954DA"/>
    <w:p w14:paraId="3E04857C" w14:textId="77777777" w:rsidR="00B954DA" w:rsidRDefault="00B954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478A44" wp14:editId="369028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F2F6" w14:textId="77777777" w:rsidR="00B954DA" w:rsidRDefault="00B954DA"/>
                          <w:p w14:paraId="41BF8675" w14:textId="77777777" w:rsidR="00B954DA" w:rsidRDefault="00B95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78A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D2F2F6" w14:textId="77777777" w:rsidR="00B954DA" w:rsidRDefault="00B954DA"/>
                    <w:p w14:paraId="41BF8675" w14:textId="77777777" w:rsidR="00B954DA" w:rsidRDefault="00B95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1CA00" w14:textId="77777777" w:rsidR="00B954DA" w:rsidRDefault="00B954DA"/>
    <w:p w14:paraId="642F47AD" w14:textId="77777777" w:rsidR="00B954DA" w:rsidRDefault="00B954DA">
      <w:pPr>
        <w:rPr>
          <w:sz w:val="2"/>
          <w:szCs w:val="2"/>
        </w:rPr>
      </w:pPr>
    </w:p>
    <w:p w14:paraId="04DDA459" w14:textId="77777777" w:rsidR="00B954DA" w:rsidRDefault="00B954DA"/>
    <w:p w14:paraId="45F69E68" w14:textId="77777777" w:rsidR="00B954DA" w:rsidRDefault="00B954DA">
      <w:pPr>
        <w:spacing w:after="0" w:line="240" w:lineRule="auto"/>
      </w:pPr>
    </w:p>
  </w:footnote>
  <w:footnote w:type="continuationSeparator" w:id="0">
    <w:p w14:paraId="2A51A2B3" w14:textId="77777777" w:rsidR="00B954DA" w:rsidRDefault="00B95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DA"/>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17014</TotalTime>
  <Pages>4</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2675</cp:revision>
  <cp:lastPrinted>2009-02-06T05:36:00Z</cp:lastPrinted>
  <dcterms:created xsi:type="dcterms:W3CDTF">2024-04-09T10:20:00Z</dcterms:created>
  <dcterms:modified xsi:type="dcterms:W3CDTF">2024-04-30T08:19:00Z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