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BA6DE" w14:textId="15271470" w:rsidR="0072084A" w:rsidRDefault="00C5648D" w:rsidP="00C5648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Гусева Маргарита Алексеевна. Конституционно-правовой статус Национального собрания Республики Беларусь</w:t>
      </w:r>
      <w:bookmarkEnd w:id="0"/>
      <w:r>
        <w:rPr>
          <w:rFonts w:ascii="Verdana" w:hAnsi="Verdana"/>
          <w:color w:val="000000"/>
          <w:sz w:val="18"/>
          <w:szCs w:val="18"/>
          <w:shd w:val="clear" w:color="auto" w:fill="FFFFFF"/>
        </w:rPr>
        <w:t>: диссертация ... кандидата Юридических наук: 12.00.02 / Гусева Маргарита Алексеевна;[Место защиты: ФГБОУ ВО Всероссийский государственный университет юстиции (РПА Минюста России)], 2016</w:t>
      </w:r>
    </w:p>
    <w:p w14:paraId="53973DD7" w14:textId="77777777" w:rsidR="00C5648D" w:rsidRPr="00C5648D" w:rsidRDefault="00C5648D" w:rsidP="00C5648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5648D">
        <w:rPr>
          <w:rFonts w:ascii="Verdana" w:eastAsia="Times New Roman" w:hAnsi="Verdana" w:cs="Times New Roman"/>
          <w:b/>
          <w:bCs/>
          <w:color w:val="AC370B"/>
          <w:kern w:val="0"/>
          <w:sz w:val="23"/>
          <w:szCs w:val="23"/>
          <w:lang w:eastAsia="ru-RU"/>
        </w:rPr>
        <w:t>Содержание к диссертации</w:t>
      </w:r>
    </w:p>
    <w:p w14:paraId="6C2C3E2A" w14:textId="77777777" w:rsidR="00C5648D" w:rsidRPr="00C5648D" w:rsidRDefault="00C5648D" w:rsidP="00C5648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48D">
        <w:rPr>
          <w:rFonts w:ascii="Verdana" w:eastAsia="Times New Roman" w:hAnsi="Verdana" w:cs="Times New Roman"/>
          <w:color w:val="000000"/>
          <w:kern w:val="0"/>
          <w:sz w:val="18"/>
          <w:szCs w:val="18"/>
          <w:lang w:eastAsia="ru-RU"/>
        </w:rPr>
        <w:t>Введение</w:t>
      </w:r>
    </w:p>
    <w:p w14:paraId="7859C206" w14:textId="77777777" w:rsidR="00C5648D" w:rsidRPr="00C5648D" w:rsidRDefault="00C5648D" w:rsidP="00C5648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5648D">
        <w:rPr>
          <w:rFonts w:ascii="Verdana" w:eastAsia="Times New Roman" w:hAnsi="Verdana" w:cs="Times New Roman"/>
          <w:b/>
          <w:bCs/>
          <w:color w:val="000000"/>
          <w:kern w:val="0"/>
          <w:sz w:val="18"/>
          <w:szCs w:val="18"/>
          <w:lang w:eastAsia="ru-RU"/>
        </w:rPr>
        <w:t>Глава 1. Белорусский парламентаризм: генезис, вопросы становления 12</w:t>
      </w:r>
    </w:p>
    <w:p w14:paraId="26754842" w14:textId="77777777" w:rsidR="00C5648D" w:rsidRPr="00C5648D" w:rsidRDefault="00C5648D" w:rsidP="00C5648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48D">
        <w:rPr>
          <w:rFonts w:ascii="Verdana" w:eastAsia="Times New Roman" w:hAnsi="Verdana" w:cs="Times New Roman"/>
          <w:color w:val="000000"/>
          <w:kern w:val="0"/>
          <w:sz w:val="18"/>
          <w:szCs w:val="18"/>
          <w:lang w:eastAsia="ru-RU"/>
        </w:rPr>
        <w:t>1. Конституционно-правовые особенности становления парламентаризма Республики Беларусь 12</w:t>
      </w:r>
    </w:p>
    <w:p w14:paraId="7C61CAFD" w14:textId="77777777" w:rsidR="00C5648D" w:rsidRPr="00C5648D" w:rsidRDefault="00C5648D" w:rsidP="00C5648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48D">
        <w:rPr>
          <w:rFonts w:ascii="Verdana" w:eastAsia="Times New Roman" w:hAnsi="Verdana" w:cs="Times New Roman"/>
          <w:color w:val="000000"/>
          <w:kern w:val="0"/>
          <w:sz w:val="18"/>
          <w:szCs w:val="18"/>
          <w:lang w:eastAsia="ru-RU"/>
        </w:rPr>
        <w:t>2. Конституционно-правовые основы формирования Национального собрания Республики Беларусь 44</w:t>
      </w:r>
    </w:p>
    <w:p w14:paraId="4EB542E5" w14:textId="77777777" w:rsidR="00C5648D" w:rsidRPr="00C5648D" w:rsidRDefault="00C5648D" w:rsidP="00C5648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5648D">
        <w:rPr>
          <w:rFonts w:ascii="Verdana" w:eastAsia="Times New Roman" w:hAnsi="Verdana" w:cs="Times New Roman"/>
          <w:b/>
          <w:bCs/>
          <w:color w:val="000000"/>
          <w:kern w:val="0"/>
          <w:sz w:val="18"/>
          <w:szCs w:val="18"/>
          <w:lang w:eastAsia="ru-RU"/>
        </w:rPr>
        <w:t>Глава 2. Компетенция Национального собрания Республики Беларусь 67</w:t>
      </w:r>
    </w:p>
    <w:p w14:paraId="1AD4361E" w14:textId="77777777" w:rsidR="00C5648D" w:rsidRPr="00C5648D" w:rsidRDefault="00C5648D" w:rsidP="00C5648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48D">
        <w:rPr>
          <w:rFonts w:ascii="Verdana" w:eastAsia="Times New Roman" w:hAnsi="Verdana" w:cs="Times New Roman"/>
          <w:color w:val="000000"/>
          <w:kern w:val="0"/>
          <w:sz w:val="18"/>
          <w:szCs w:val="18"/>
          <w:lang w:eastAsia="ru-RU"/>
        </w:rPr>
        <w:t>1. Законодательная деятельность Национального собрания Республики Беларусь 67</w:t>
      </w:r>
    </w:p>
    <w:p w14:paraId="5A2CD817" w14:textId="77777777" w:rsidR="00C5648D" w:rsidRPr="00C5648D" w:rsidRDefault="00C5648D" w:rsidP="00C5648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48D">
        <w:rPr>
          <w:rFonts w:ascii="Verdana" w:eastAsia="Times New Roman" w:hAnsi="Verdana" w:cs="Times New Roman"/>
          <w:color w:val="000000"/>
          <w:kern w:val="0"/>
          <w:sz w:val="18"/>
          <w:szCs w:val="18"/>
          <w:lang w:eastAsia="ru-RU"/>
        </w:rPr>
        <w:t>2. Иные направления деятельности Национального собрания Республики Беларусь 90</w:t>
      </w:r>
    </w:p>
    <w:p w14:paraId="056AD73B" w14:textId="77777777" w:rsidR="00C5648D" w:rsidRPr="00C5648D" w:rsidRDefault="00C5648D" w:rsidP="00C5648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5648D">
        <w:rPr>
          <w:rFonts w:ascii="Verdana" w:eastAsia="Times New Roman" w:hAnsi="Verdana" w:cs="Times New Roman"/>
          <w:b/>
          <w:bCs/>
          <w:color w:val="000000"/>
          <w:kern w:val="0"/>
          <w:sz w:val="18"/>
          <w:szCs w:val="18"/>
          <w:lang w:eastAsia="ru-RU"/>
        </w:rPr>
        <w:t>Глава 3. Гарантии деятельности и вопросы повышения ответственности Национального собрания Республики Беларусь 106</w:t>
      </w:r>
    </w:p>
    <w:p w14:paraId="6ECFA2FC" w14:textId="77777777" w:rsidR="00C5648D" w:rsidRPr="00C5648D" w:rsidRDefault="00C5648D" w:rsidP="00C5648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48D">
        <w:rPr>
          <w:rFonts w:ascii="Verdana" w:eastAsia="Times New Roman" w:hAnsi="Verdana" w:cs="Times New Roman"/>
          <w:color w:val="000000"/>
          <w:kern w:val="0"/>
          <w:sz w:val="18"/>
          <w:szCs w:val="18"/>
          <w:lang w:eastAsia="ru-RU"/>
        </w:rPr>
        <w:t>1. Гарантии деятельности Национального собрания Республики Беларусь 106</w:t>
      </w:r>
    </w:p>
    <w:p w14:paraId="2EAC925D" w14:textId="77777777" w:rsidR="00C5648D" w:rsidRPr="00C5648D" w:rsidRDefault="00C5648D" w:rsidP="00C5648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48D">
        <w:rPr>
          <w:rFonts w:ascii="Verdana" w:eastAsia="Times New Roman" w:hAnsi="Verdana" w:cs="Times New Roman"/>
          <w:color w:val="000000"/>
          <w:kern w:val="0"/>
          <w:sz w:val="18"/>
          <w:szCs w:val="18"/>
          <w:lang w:eastAsia="ru-RU"/>
        </w:rPr>
        <w:t>2. Вопросы повышения ответственности Национального собрания Республики Беларусь 118</w:t>
      </w:r>
    </w:p>
    <w:p w14:paraId="2D77B428" w14:textId="77777777" w:rsidR="00C5648D" w:rsidRPr="00C5648D" w:rsidRDefault="00C5648D" w:rsidP="00C5648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48D">
        <w:rPr>
          <w:rFonts w:ascii="Verdana" w:eastAsia="Times New Roman" w:hAnsi="Verdana" w:cs="Times New Roman"/>
          <w:color w:val="000000"/>
          <w:kern w:val="0"/>
          <w:sz w:val="18"/>
          <w:szCs w:val="18"/>
          <w:lang w:eastAsia="ru-RU"/>
        </w:rPr>
        <w:t>Заключение 129</w:t>
      </w:r>
    </w:p>
    <w:p w14:paraId="6447291D" w14:textId="77777777" w:rsidR="00C5648D" w:rsidRPr="00C5648D" w:rsidRDefault="00C5648D" w:rsidP="00C5648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48D">
        <w:rPr>
          <w:rFonts w:ascii="Verdana" w:eastAsia="Times New Roman" w:hAnsi="Verdana" w:cs="Times New Roman"/>
          <w:color w:val="000000"/>
          <w:kern w:val="0"/>
          <w:sz w:val="18"/>
          <w:szCs w:val="18"/>
          <w:lang w:eastAsia="ru-RU"/>
        </w:rPr>
        <w:t>Библиографический список 137</w:t>
      </w:r>
    </w:p>
    <w:p w14:paraId="617A0101" w14:textId="77777777" w:rsidR="00C5648D" w:rsidRDefault="00C5648D" w:rsidP="00C5648D">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0855F14" w14:textId="77777777" w:rsidR="00C5648D" w:rsidRDefault="00C5648D" w:rsidP="00C5648D">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Становление института парламентаризма в Республике Беларусь тесно связано со становлением белорусской государственности</w:t>
      </w:r>
      <w:r>
        <w:rPr>
          <w:rFonts w:ascii="Verdana" w:hAnsi="Verdana"/>
          <w:color w:val="000000"/>
          <w:sz w:val="18"/>
          <w:szCs w:val="18"/>
          <w:vertAlign w:val="superscript"/>
        </w:rPr>
        <w:t>1</w:t>
      </w:r>
      <w:r>
        <w:rPr>
          <w:rFonts w:ascii="Verdana" w:hAnsi="Verdana"/>
          <w:color w:val="000000"/>
          <w:sz w:val="18"/>
          <w:szCs w:val="18"/>
        </w:rPr>
        <w:t>.</w:t>
      </w:r>
    </w:p>
    <w:p w14:paraId="379D4255"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Территория современной Беларуси (или отдельные ее регионы) в разные исторические времена являлась частью (входила в состав) Киевской Руси, Великого княжества Литовского, Речи Посполитой, Российской империи, Польши, СССР. И только с распадом Российской империи и образованием БССР стало возможным фактическое зарождение представительной демократии как таковой.</w:t>
      </w:r>
    </w:p>
    <w:p w14:paraId="270675F8"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Особую роль на формирование органов государственной власти Беларуси, а также организацию их деятельности оказало образование 30 декабря 1922 г. СССР.</w:t>
      </w:r>
    </w:p>
    <w:p w14:paraId="3DE882AF"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Историческим событием для страны и прежде всего для развития ее политической системы и становления парламентаризма стало принятие 27 июля 1990 г. Декларации «О государственном суверенитете Белорусской Советской Социалистической Республики»</w:t>
      </w:r>
      <w:r>
        <w:rPr>
          <w:rFonts w:ascii="Verdana" w:hAnsi="Verdana"/>
          <w:color w:val="000000"/>
          <w:sz w:val="18"/>
          <w:szCs w:val="18"/>
          <w:vertAlign w:val="superscript"/>
        </w:rPr>
        <w:t>2</w:t>
      </w:r>
      <w:r>
        <w:rPr>
          <w:rFonts w:ascii="Verdana" w:hAnsi="Verdana"/>
          <w:color w:val="000000"/>
          <w:sz w:val="18"/>
          <w:szCs w:val="18"/>
        </w:rPr>
        <w:t xml:space="preserve">, а в дальнейшем и изменение </w:t>
      </w:r>
      <w:r>
        <w:rPr>
          <w:rFonts w:ascii="Verdana" w:hAnsi="Verdana"/>
          <w:color w:val="000000"/>
          <w:sz w:val="18"/>
          <w:szCs w:val="18"/>
        </w:rPr>
        <w:lastRenderedPageBreak/>
        <w:t>своего названия</w:t>
      </w:r>
      <w:r>
        <w:rPr>
          <w:rFonts w:ascii="Verdana" w:hAnsi="Verdana"/>
          <w:color w:val="000000"/>
          <w:sz w:val="18"/>
          <w:szCs w:val="18"/>
          <w:vertAlign w:val="superscript"/>
        </w:rPr>
        <w:t>3</w:t>
      </w:r>
      <w:r>
        <w:rPr>
          <w:rFonts w:ascii="Verdana" w:hAnsi="Verdana"/>
          <w:color w:val="000000"/>
          <w:sz w:val="18"/>
          <w:szCs w:val="18"/>
        </w:rPr>
        <w:t>. После распада СССР Беларусь стала де-юре и де-факто суверенным государством. Это произошло в 1991 г.</w:t>
      </w:r>
      <w:r>
        <w:rPr>
          <w:rFonts w:ascii="Verdana" w:hAnsi="Verdana"/>
          <w:color w:val="000000"/>
          <w:sz w:val="18"/>
          <w:szCs w:val="18"/>
          <w:vertAlign w:val="superscript"/>
        </w:rPr>
        <w:t>4</w:t>
      </w:r>
    </w:p>
    <w:p w14:paraId="1BEA5A61"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Гордеюк</w:t>
      </w:r>
      <w:r>
        <w:rPr>
          <w:rStyle w:val="apple-converted-space"/>
          <w:rFonts w:ascii="Verdana" w:hAnsi="Verdana"/>
          <w:color w:val="000000"/>
          <w:sz w:val="18"/>
          <w:szCs w:val="18"/>
        </w:rPr>
        <w:t> </w:t>
      </w:r>
      <w:r>
        <w:rPr>
          <w:rStyle w:val="afe"/>
          <w:rFonts w:ascii="Verdana" w:hAnsi="Verdana"/>
          <w:color w:val="000000"/>
          <w:sz w:val="18"/>
          <w:szCs w:val="18"/>
        </w:rPr>
        <w:t>Е.</w:t>
      </w:r>
      <w:r>
        <w:rPr>
          <w:rStyle w:val="apple-converted-space"/>
          <w:rFonts w:ascii="Verdana" w:hAnsi="Verdana"/>
          <w:color w:val="000000"/>
          <w:sz w:val="18"/>
          <w:szCs w:val="18"/>
        </w:rPr>
        <w:t> </w:t>
      </w:r>
      <w:r>
        <w:rPr>
          <w:rStyle w:val="afe"/>
          <w:rFonts w:ascii="Verdana" w:hAnsi="Verdana"/>
          <w:color w:val="000000"/>
          <w:sz w:val="18"/>
          <w:szCs w:val="18"/>
        </w:rPr>
        <w:t>О.</w:t>
      </w:r>
      <w:r>
        <w:rPr>
          <w:rStyle w:val="apple-converted-space"/>
          <w:rFonts w:ascii="Verdana" w:hAnsi="Verdana"/>
          <w:color w:val="000000"/>
          <w:sz w:val="18"/>
          <w:szCs w:val="18"/>
        </w:rPr>
        <w:t> </w:t>
      </w:r>
      <w:r>
        <w:rPr>
          <w:rFonts w:ascii="Verdana" w:hAnsi="Verdana"/>
          <w:color w:val="000000"/>
          <w:sz w:val="18"/>
          <w:szCs w:val="18"/>
        </w:rPr>
        <w:t>К вопросу о развитии парламентаризма в Беларуси // Поли</w:t>
      </w:r>
      <w:r>
        <w:rPr>
          <w:rFonts w:ascii="Verdana" w:hAnsi="Verdana"/>
          <w:color w:val="000000"/>
          <w:sz w:val="18"/>
          <w:szCs w:val="18"/>
        </w:rPr>
        <w:br/>
        <w:t>тическое и социально-экономическое развитие Республики Беларусь: история и совре</w:t>
      </w:r>
      <w:r>
        <w:rPr>
          <w:rFonts w:ascii="Verdana" w:hAnsi="Verdana"/>
          <w:color w:val="000000"/>
          <w:sz w:val="18"/>
          <w:szCs w:val="18"/>
        </w:rPr>
        <w:br/>
        <w:t>менность : сб. науч. ст. по материалам акад. науч. конф. студентов и магистрантов (Гор</w:t>
      </w:r>
      <w:r>
        <w:rPr>
          <w:rFonts w:ascii="Verdana" w:hAnsi="Verdana"/>
          <w:color w:val="000000"/>
          <w:sz w:val="18"/>
          <w:szCs w:val="18"/>
        </w:rPr>
        <w:br/>
        <w:t>ки, 21 ноября — 8 декабря 2011 г.) / ред. колл. А. П. Курдеко [и др.]. Горки, 2012. С. 3–7.</w:t>
      </w:r>
    </w:p>
    <w:p w14:paraId="0899F6CF"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См.: Собрание законов Белорусской ССР, указов Президиума Верховного Со</w:t>
      </w:r>
      <w:r>
        <w:rPr>
          <w:rFonts w:ascii="Verdana" w:hAnsi="Verdana"/>
          <w:color w:val="000000"/>
          <w:sz w:val="18"/>
          <w:szCs w:val="18"/>
        </w:rPr>
        <w:br/>
        <w:t>вета Белорусской ССР, постановлений Совета Министров Белорусской ССР. 1990. № 22.</w:t>
      </w:r>
      <w:r>
        <w:rPr>
          <w:rFonts w:ascii="Verdana" w:hAnsi="Verdana"/>
          <w:color w:val="000000"/>
          <w:sz w:val="18"/>
          <w:szCs w:val="18"/>
        </w:rPr>
        <w:br/>
        <w:t>Ст. 432; Закон Белорусской ССР от 25.08.1991 № 1017-XII «О придании статуса консти</w:t>
      </w:r>
      <w:r>
        <w:rPr>
          <w:rFonts w:ascii="Verdana" w:hAnsi="Verdana"/>
          <w:color w:val="000000"/>
          <w:sz w:val="18"/>
          <w:szCs w:val="18"/>
        </w:rPr>
        <w:br/>
        <w:t>туционного закона Декларации Верховного Совета Белорусской ССР о государственном</w:t>
      </w:r>
      <w:r>
        <w:rPr>
          <w:rFonts w:ascii="Verdana" w:hAnsi="Verdana"/>
          <w:color w:val="000000"/>
          <w:sz w:val="18"/>
          <w:szCs w:val="18"/>
        </w:rPr>
        <w:br/>
        <w:t>суверенитете Белорусской ССР» // Ведамасці Вярхонага Савета Беларускай ССР. 1991.</w:t>
      </w:r>
      <w:r>
        <w:rPr>
          <w:rFonts w:ascii="Verdana" w:hAnsi="Verdana"/>
          <w:color w:val="000000"/>
          <w:sz w:val="18"/>
          <w:szCs w:val="18"/>
        </w:rPr>
        <w:br/>
        <w:t>№ 28. Ст. 425.</w:t>
      </w:r>
    </w:p>
    <w:p w14:paraId="159E2630"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 Закон Республики Беларусь от 19.09.1991 № 1085-XІІ «О названии Бело</w:t>
      </w:r>
      <w:r>
        <w:rPr>
          <w:rFonts w:ascii="Verdana" w:hAnsi="Verdana"/>
          <w:color w:val="000000"/>
          <w:sz w:val="18"/>
          <w:szCs w:val="18"/>
        </w:rPr>
        <w:br/>
        <w:t>русской Советской Социалистической Республики и внесении изменений в Декларацию</w:t>
      </w:r>
      <w:r>
        <w:rPr>
          <w:rFonts w:ascii="Verdana" w:hAnsi="Verdana"/>
          <w:color w:val="000000"/>
          <w:sz w:val="18"/>
          <w:szCs w:val="18"/>
        </w:rPr>
        <w:br/>
        <w:t>Верховного Совета Белорусской Советской Социалистической Республики о государ</w:t>
      </w:r>
      <w:r>
        <w:rPr>
          <w:rFonts w:ascii="Verdana" w:hAnsi="Verdana"/>
          <w:color w:val="000000"/>
          <w:sz w:val="18"/>
          <w:szCs w:val="18"/>
        </w:rPr>
        <w:br/>
        <w:t>ственном суверенитете Белорусской Советской Социалистической Республики и Кон</w:t>
      </w:r>
      <w:r>
        <w:rPr>
          <w:rFonts w:ascii="Verdana" w:hAnsi="Verdana"/>
          <w:color w:val="000000"/>
          <w:sz w:val="18"/>
          <w:szCs w:val="18"/>
        </w:rPr>
        <w:br/>
        <w:t>ституцию (Основной Закон) Белорусской ССР» // Ведомости Верховного Совета Респуб</w:t>
      </w:r>
      <w:r>
        <w:rPr>
          <w:rFonts w:ascii="Verdana" w:hAnsi="Verdana"/>
          <w:color w:val="000000"/>
          <w:sz w:val="18"/>
          <w:szCs w:val="18"/>
        </w:rPr>
        <w:br/>
        <w:t>лики Беларусь. 1991. № 30. Ст. 490.</w:t>
      </w:r>
    </w:p>
    <w:p w14:paraId="6F2BC1BF"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См.: Дeклapaция Coвeтa Pecпублик Вepxoвнoгo Coвeтa CCCP oт 26.12.1991</w:t>
      </w:r>
      <w:r>
        <w:rPr>
          <w:rFonts w:ascii="Verdana" w:hAnsi="Verdana"/>
          <w:color w:val="000000"/>
          <w:sz w:val="18"/>
          <w:szCs w:val="18"/>
        </w:rPr>
        <w:br/>
        <w:t>№ 142 «В связи с созданием Содружества Независимых государств» // Вeдoмocти</w:t>
      </w:r>
      <w:r>
        <w:rPr>
          <w:rFonts w:ascii="Verdana" w:hAnsi="Verdana"/>
          <w:color w:val="000000"/>
          <w:sz w:val="18"/>
          <w:szCs w:val="18"/>
        </w:rPr>
        <w:br/>
        <w:t>Вepxoвнoгo Coвeтa CCCP. 1991. № 52; Постановление Верховного Совета Республики</w:t>
      </w:r>
      <w:r>
        <w:rPr>
          <w:rFonts w:ascii="Verdana" w:hAnsi="Verdana"/>
          <w:color w:val="000000"/>
          <w:sz w:val="18"/>
          <w:szCs w:val="18"/>
        </w:rPr>
        <w:br/>
        <w:t>Беларусь от 10.12.1991 № 1297-XII «О денонсации Договора 1922 года об образовании</w:t>
      </w:r>
      <w:r>
        <w:rPr>
          <w:rFonts w:ascii="Verdana" w:hAnsi="Verdana"/>
          <w:color w:val="000000"/>
          <w:sz w:val="18"/>
          <w:szCs w:val="18"/>
        </w:rPr>
        <w:br/>
        <w:t>Союза Советских и Социалистических Республик» // Ведамасці Вярхонага Савета Рэс-</w:t>
      </w:r>
      <w:r>
        <w:rPr>
          <w:rFonts w:ascii="Verdana" w:hAnsi="Verdana"/>
          <w:color w:val="000000"/>
          <w:sz w:val="18"/>
          <w:szCs w:val="18"/>
        </w:rPr>
        <w:br/>
        <w:t>публікі Беларусь. 1992. № 1. Ст. 16.</w:t>
      </w:r>
    </w:p>
    <w:p w14:paraId="7CB4B312"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Ныне территория Республики Беларусь включает шесть областей (Брестская, Витебская, Гомельская, Гродненская, Минская, Моги-левская) со столицей — городом Минск.</w:t>
      </w:r>
    </w:p>
    <w:p w14:paraId="3B46AEF4"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Новая реальность потребовала особого внимания к вопросам становления и совершенствования деятельности органов государственной власти, в том числе и ее парламента.</w:t>
      </w:r>
    </w:p>
    <w:p w14:paraId="21B29265"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Примечательно, что важнейшим направлением политики пост</w:t>
      </w:r>
      <w:r>
        <w:rPr>
          <w:rFonts w:ascii="Verdana" w:hAnsi="Verdana"/>
          <w:color w:val="000000"/>
          <w:sz w:val="18"/>
          <w:szCs w:val="18"/>
        </w:rPr>
        <w:br/>
        <w:t>советской Беларуси с 1994 г. стал курс на интеграцию с Россией. Мно</w:t>
      </w:r>
      <w:r>
        <w:rPr>
          <w:rFonts w:ascii="Verdana" w:hAnsi="Verdana"/>
          <w:color w:val="000000"/>
          <w:sz w:val="18"/>
          <w:szCs w:val="18"/>
        </w:rPr>
        <w:br/>
        <w:t>голетнее сотрудничество двух стран нашло отражение в ряде важней</w:t>
      </w:r>
      <w:r>
        <w:rPr>
          <w:rFonts w:ascii="Verdana" w:hAnsi="Verdana"/>
          <w:color w:val="000000"/>
          <w:sz w:val="18"/>
          <w:szCs w:val="18"/>
        </w:rPr>
        <w:br/>
        <w:t>ших документов, одним из которых является Договор «О создании</w:t>
      </w:r>
      <w:r>
        <w:rPr>
          <w:rFonts w:ascii="Verdana" w:hAnsi="Verdana"/>
          <w:color w:val="000000"/>
          <w:sz w:val="18"/>
          <w:szCs w:val="18"/>
        </w:rPr>
        <w:br/>
        <w:t>Союзного государства» (Москва, 8 декабря 1999 г.)</w:t>
      </w:r>
      <w:r>
        <w:rPr>
          <w:rFonts w:ascii="Verdana" w:hAnsi="Verdana"/>
          <w:color w:val="000000"/>
          <w:sz w:val="18"/>
          <w:szCs w:val="18"/>
          <w:vertAlign w:val="superscript"/>
        </w:rPr>
        <w:t>5</w:t>
      </w:r>
      <w:r>
        <w:rPr>
          <w:rFonts w:ascii="Verdana" w:hAnsi="Verdana"/>
          <w:color w:val="000000"/>
          <w:sz w:val="18"/>
          <w:szCs w:val="18"/>
        </w:rPr>
        <w:t>. Сближение наци</w:t>
      </w:r>
      <w:r>
        <w:rPr>
          <w:rFonts w:ascii="Verdana" w:hAnsi="Verdana"/>
          <w:color w:val="000000"/>
          <w:sz w:val="18"/>
          <w:szCs w:val="18"/>
        </w:rPr>
        <w:br/>
        <w:t>ональных законодательств двух стран также выдвигает на повестку дня</w:t>
      </w:r>
      <w:r>
        <w:rPr>
          <w:rFonts w:ascii="Verdana" w:hAnsi="Verdana"/>
          <w:color w:val="000000"/>
          <w:sz w:val="18"/>
          <w:szCs w:val="18"/>
        </w:rPr>
        <w:br/>
        <w:t>необходимость исследования конституционно-правового статуса</w:t>
      </w:r>
    </w:p>
    <w:p w14:paraId="5AA6F8AB"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Национального собрания Республики Беларусь, вопросов выработки единых норм в рамках строительства Союзного государства.</w:t>
      </w:r>
    </w:p>
    <w:p w14:paraId="529E9901"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вышеотмеченное подчеркивает актуальность темы и настоятельную необходимость ее углубленного изучения.</w:t>
      </w:r>
    </w:p>
    <w:p w14:paraId="29608FE2" w14:textId="77777777" w:rsidR="00C5648D" w:rsidRDefault="00C5648D" w:rsidP="00C5648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 исследования диссертационной работы</w:t>
      </w:r>
      <w:r>
        <w:rPr>
          <w:rStyle w:val="apple-converted-space"/>
          <w:rFonts w:ascii="Verdana" w:hAnsi="Verdana"/>
          <w:color w:val="000000"/>
          <w:sz w:val="18"/>
          <w:szCs w:val="18"/>
        </w:rPr>
        <w:t> </w:t>
      </w:r>
      <w:r>
        <w:rPr>
          <w:rFonts w:ascii="Verdana" w:hAnsi="Verdana"/>
          <w:color w:val="000000"/>
          <w:sz w:val="18"/>
          <w:szCs w:val="18"/>
        </w:rPr>
        <w:t>является комплексный анализ законодательства, определяющего вопросы формирования, структуру, функции, полномочия, гарантии и ответственность Национального собрания Республики Беларусь.</w:t>
      </w:r>
    </w:p>
    <w:p w14:paraId="787CA6BE"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Достижение указанной цели определило постановку и решение следующих</w:t>
      </w:r>
      <w:r>
        <w:rPr>
          <w:rStyle w:val="apple-converted-space"/>
          <w:rFonts w:ascii="Verdana" w:hAnsi="Verdana"/>
          <w:color w:val="000000"/>
          <w:sz w:val="18"/>
          <w:szCs w:val="18"/>
        </w:rPr>
        <w:t> </w:t>
      </w:r>
      <w:r>
        <w:rPr>
          <w:rStyle w:val="af2"/>
          <w:rFonts w:ascii="Verdana" w:hAnsi="Verdana"/>
          <w:color w:val="000000"/>
          <w:sz w:val="18"/>
          <w:szCs w:val="18"/>
        </w:rPr>
        <w:t>задач</w:t>
      </w:r>
      <w:r>
        <w:rPr>
          <w:rFonts w:ascii="Verdana" w:hAnsi="Verdana"/>
          <w:color w:val="000000"/>
          <w:sz w:val="18"/>
          <w:szCs w:val="18"/>
        </w:rPr>
        <w:t>:</w:t>
      </w:r>
    </w:p>
    <w:p w14:paraId="6115B877"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дореволюционный и советский опыт белорусского парламентаризма (с 1917 по 1991 г.);</w:t>
      </w:r>
    </w:p>
    <w:p w14:paraId="1952875F"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порядок формирования палат Национального собрания Республики Беларусь;</w:t>
      </w:r>
    </w:p>
    <w:p w14:paraId="0E200EB2"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законодательную деятельность парламента, а также выявить особенности реализации воли белорусского народа через его парламент;</w:t>
      </w:r>
    </w:p>
    <w:p w14:paraId="7EE08B91"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иную деятельность Национального собрания Республики Беларусь;</w:t>
      </w:r>
    </w:p>
    <w:p w14:paraId="07572FC4"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уяснить гарантии деятельности Национального собрания Республики Беларусь;</w:t>
      </w:r>
    </w:p>
    <w:p w14:paraId="36D02FDF"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законодательство Республики Беларусь, касающееся вопроса ответственности Национального собрания Республики Беларусь с целью выработки предложений по повышению эффективности деятельности Национального собрания Республики Беларусь и его ответственности за результаты парламентской деятельности.</w:t>
      </w:r>
    </w:p>
    <w:p w14:paraId="6BC9444B"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См.: СЗ РФ. 2000. № 7. Ст. 786. 4</w:t>
      </w:r>
    </w:p>
    <w:p w14:paraId="234DD9A0" w14:textId="77777777" w:rsidR="00C5648D" w:rsidRDefault="00C5648D" w:rsidP="00C5648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выступают общественные отношения, урегулированные нормами права Республики Беларусь, связанные с конституционно-правовым статусом Национального собрания Республики Беларусь.</w:t>
      </w:r>
    </w:p>
    <w:p w14:paraId="7CA283A5" w14:textId="77777777" w:rsidR="00C5648D" w:rsidRDefault="00C5648D" w:rsidP="00C5648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нормы права Республики Беларусь, регулирующие механизмы организации и деятельности Национального собрания Республики Беларусь, а также определяющие место и роль парламента в системе государственной власти.</w:t>
      </w:r>
    </w:p>
    <w:p w14:paraId="01A15DD0" w14:textId="77777777" w:rsidR="00C5648D" w:rsidRDefault="00C5648D" w:rsidP="00C5648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 xml:space="preserve">В целях рассмотрения поставленных задач были рассмотрены труды следующих отечественных ученых: С. А. Авакьяна, А. С. Автономова, Л. В. Андричен-ко, А. А. Амиантова, С. А. Белова, Н. А. Богдановой, Е. И. Бурьяновой, М. В. Варлен, В. А. Виноградова, В. Г. Вишнякова, Б. Н. Габричидзе, И. Н. Гавриловой, С. А. Глотова, И. В. Гранкина, В. В. Гриба, В. М. Гхи-квадзе, А. В. Зиновьева, М. М. Какителашвили, Д. Б. Каткова, Д. А. Кова-чева, </w:t>
      </w:r>
      <w:r>
        <w:rPr>
          <w:rFonts w:ascii="Verdana" w:hAnsi="Verdana"/>
          <w:color w:val="000000"/>
          <w:sz w:val="18"/>
          <w:szCs w:val="18"/>
        </w:rPr>
        <w:lastRenderedPageBreak/>
        <w:t>И. В. Котелевской, В. В. Красинского, Е. А. Кремянской, Б. С. Крылова, Т. О. Кузнецовой, Э. Л. Кузьмина, В. Д. Мазаева, Г. В. Минха, А. В. Миронова, Ж. И. Овсепян, В. Н. Протасова, А. И. Ракитской, О. Ю. Рыбакова, С. А. Солдатова, Е. А. Соломатиной, М. П. Фомичен-ко, В. Е. Чиркина, В. А. Черепанова, В. М. Чхиквадзе, Е. А. Юртаева.</w:t>
      </w:r>
    </w:p>
    <w:p w14:paraId="26989442"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Особое внимание при подготовке диссертационного исследования уделялось трудам ученых Республики Беларусь: А. М. Абрамовича, Н. Б. Антоновой, О. А. Антоновой, В. А. Божанова, Г. А. Василе-вича, И. В. Вегеры, Л. С. Вечер, А. В. Горелика, И. А. Демидовой, Д. М. Демичева, В. Н. Дубовицкого, Т. Л. Евменовой, Е. В. Жигалко, Л. М. Захаровой, Н. М. Канашевич, И. Н. Киряковой, В. А. Кодавбо-вича, В. А. Круталевича, К. Н. Кунцевича, А. В. Курьяновича, Д. А. Лагуна,</w:t>
      </w:r>
    </w:p>
    <w:p w14:paraId="467C7B73"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A. И. Лукашова, А. В. Марыскина, Т. С. Масловской, Е. В. Матусевича,</w:t>
      </w:r>
      <w:r>
        <w:rPr>
          <w:rFonts w:ascii="Verdana" w:hAnsi="Verdana"/>
          <w:color w:val="000000"/>
          <w:sz w:val="18"/>
          <w:szCs w:val="18"/>
        </w:rPr>
        <w:br/>
        <w:t>С. Г. Паречиной, М. И. Пастухова, В. И. Реута, В. В. Сажиной,</w:t>
      </w:r>
    </w:p>
    <w:p w14:paraId="3098B718"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B. И. Семенкова, Н. В. Смеховича, О. Г. Станкевич, Д. М. Степаненко,</w:t>
      </w:r>
      <w:r>
        <w:rPr>
          <w:rFonts w:ascii="Verdana" w:hAnsi="Verdana"/>
          <w:color w:val="000000"/>
          <w:sz w:val="18"/>
          <w:szCs w:val="18"/>
        </w:rPr>
        <w:br/>
        <w:t>В. И. Тележникова, А. В. Тихомирова, О. В. Чмыги, М. Ф. Чудакова,</w:t>
      </w:r>
      <w:r>
        <w:rPr>
          <w:rFonts w:ascii="Verdana" w:hAnsi="Verdana"/>
          <w:color w:val="000000"/>
          <w:sz w:val="18"/>
          <w:szCs w:val="18"/>
        </w:rPr>
        <w:br/>
        <w:t>И. В. Шаврука, А. В. Шавцовой, В. А. Шаршуна, А. Т. Широкова.</w:t>
      </w:r>
    </w:p>
    <w:p w14:paraId="6DB4DA73"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Научную базу диссертации составили также материалы диссертационных исследований следующих ученых: Г. А. Василевича, И. В. Вегеры, В. А. Галицкова, А. В. Зарицкого, А. Э. Калиновича, А. М. Хамидова.</w:t>
      </w:r>
    </w:p>
    <w:p w14:paraId="4E2D5999" w14:textId="77777777" w:rsidR="00C5648D" w:rsidRDefault="00C5648D" w:rsidP="00C5648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диссертационного исследования.</w:t>
      </w:r>
    </w:p>
    <w:p w14:paraId="3CD32B1C"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написании диссертационного исследования были использованы формально-логический (анализ), частнонаучные (историко-правовой, сравнительно-правовой, правовой статистики) методы познания.</w:t>
      </w:r>
    </w:p>
    <w:p w14:paraId="0C299390" w14:textId="77777777" w:rsidR="00C5648D" w:rsidRDefault="00C5648D" w:rsidP="00C5648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труды отечественных и преимущественно ученых Беларуси, посвященные исследованию элементов конституционно-правового статуса парламента.</w:t>
      </w:r>
    </w:p>
    <w:p w14:paraId="320EAC3E" w14:textId="77777777" w:rsidR="00C5648D" w:rsidRDefault="00C5648D" w:rsidP="00C5648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базу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составили:</w:t>
      </w:r>
    </w:p>
    <w:p w14:paraId="77F29173"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международные акты;</w:t>
      </w:r>
    </w:p>
    <w:p w14:paraId="2FC2DB32"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Республики Беларусь и иные нормативные правовые акты Республики Беларусь;</w:t>
      </w:r>
    </w:p>
    <w:p w14:paraId="615FCEBA"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Российской Федерации и иные нормативные правовые акты Российской Федерации;</w:t>
      </w:r>
    </w:p>
    <w:p w14:paraId="338A8CF0"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решения Европейского суда по правам человека, Конституционного Суда Республики Беларусь и Конституционного Суда Российской Федерации;</w:t>
      </w:r>
    </w:p>
    <w:p w14:paraId="654DA515"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конституции СССР, конституции ССРБ и БССР, иные нормативные правовые акты СССР, ССРБ и БССР.</w:t>
      </w:r>
    </w:p>
    <w:p w14:paraId="6EC304EC" w14:textId="77777777" w:rsidR="00C5648D" w:rsidRDefault="00C5648D" w:rsidP="00C5648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базу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составили:</w:t>
      </w:r>
    </w:p>
    <w:p w14:paraId="4AA0B9F6"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Центральной комиссии по выборам и проведению республиканских референдумов Республики Беларусь об итогах проведения выборов депутатов в Палату представителей второго, третьего, четвертого и пятого созывов;</w:t>
      </w:r>
    </w:p>
    <w:p w14:paraId="130ADF52"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Центральной комиссии по выборам и проведению республиканских референдумов Республики Беларусь об итогах проведения референдума 14 мая 1995 г. и 24 ноября 1996 г.;</w:t>
      </w:r>
    </w:p>
    <w:p w14:paraId="2326152C"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Палаты представителей Национального собрания Республики Беларусь о количестве внесенных проектов законов в Палату представителей с 1996 по 2015 г.;</w:t>
      </w:r>
    </w:p>
    <w:p w14:paraId="0706FE4C"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Палаты представителей Национального собрания Республики Беларусь о количестве поступивших обращений в Палату представителей с 2012 по 2015 г.</w:t>
      </w:r>
    </w:p>
    <w:p w14:paraId="32565DC3" w14:textId="77777777" w:rsidR="00C5648D" w:rsidRDefault="00C5648D" w:rsidP="00C5648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Данная диссертация является первой в Российской Федерации комплексной работой по исследованию конституционно-правового статуса Национального собрания Республики Беларусь.</w:t>
      </w:r>
    </w:p>
    <w:p w14:paraId="3657C580"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диссертационном исследовании сформулировано понятие конституционно-правового статуса парламента, представлены предложения о необходимости расширения полномочий Национального собрания Республики Беларусь и усиления его представительской функции, а также повышения ответственности Парламента и его парламентариев.</w:t>
      </w:r>
    </w:p>
    <w:p w14:paraId="60409A29"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проведенного исследования</w:t>
      </w:r>
      <w:r>
        <w:rPr>
          <w:rStyle w:val="apple-converted-space"/>
          <w:rFonts w:ascii="Verdana" w:hAnsi="Verdana"/>
          <w:color w:val="000000"/>
          <w:sz w:val="18"/>
          <w:szCs w:val="18"/>
        </w:rPr>
        <w:t> </w:t>
      </w:r>
      <w:r>
        <w:rPr>
          <w:rStyle w:val="af2"/>
          <w:rFonts w:ascii="Verdana" w:hAnsi="Verdana"/>
          <w:color w:val="000000"/>
          <w:sz w:val="18"/>
          <w:szCs w:val="18"/>
        </w:rPr>
        <w:t>на защиту выносятся следующие новые и содержащие элементы новизны положения</w:t>
      </w:r>
      <w:r>
        <w:rPr>
          <w:rFonts w:ascii="Verdana" w:hAnsi="Verdana"/>
          <w:color w:val="000000"/>
          <w:sz w:val="18"/>
          <w:szCs w:val="18"/>
        </w:rPr>
        <w:t>:</w:t>
      </w:r>
    </w:p>
    <w:p w14:paraId="29670EDB"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1. Сформулировано авторское определение понятия конституционно-правового статуса парламента.</w:t>
      </w:r>
    </w:p>
    <w:p w14:paraId="71B1B9FA"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 широком смысле конституционно-правовой статус парламента — это совокупность конкретных конституционно-правовых норм, определяющих порядок формирования, компетенцию, гарантии и ответственность данного органа государственной власти. При этом нормы относительно порядка формирования представляют предста-тусный элемент, относительно компетенции — непосредственно статусный элемент, относительно гарантий и ответственности — после-статусный элемент.</w:t>
      </w:r>
    </w:p>
    <w:p w14:paraId="4A38A488"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 узком понимании конституционно-правовой статус парламента — это его компетенция, т. е. совокупность функций (основных направлений деятельности) и властных полномочий, представляющих собой юридически закрепленные за парламентом права и обязанности.</w:t>
      </w:r>
    </w:p>
    <w:p w14:paraId="7A0CC0DB" w14:textId="77777777" w:rsidR="00C5648D" w:rsidRDefault="00C5648D" w:rsidP="0024026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Обосновано, что внутренне присущей особенностью конституционно-правового статуса Парламента Республики Беларусь является бережное отношение и целенаправленное использование практического опыта, накопленного в этой сфере, для организации белорусских парламентов различных исторических этапов: первого этапа — опыта Российской империи и РСФСР; второго этапа — опыта СССР; третьего этапа — опыта Российской Федерации, БССР, зарубеж-ных стран.</w:t>
      </w:r>
    </w:p>
    <w:p w14:paraId="564F8E63" w14:textId="77777777" w:rsidR="00C5648D" w:rsidRDefault="00C5648D" w:rsidP="0024026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Для дальнейшей демократизации избирательного процесса аргументирована необходимость внесений изменений в ст. 64 Конституции Республики Беларусь</w:t>
      </w: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и в ч. 2 ст. 4 Избирательного кодекса Республики Беларусь</w:t>
      </w:r>
      <w:r>
        <w:rPr>
          <w:rFonts w:ascii="Verdana" w:hAnsi="Verdana"/>
          <w:color w:val="000000"/>
          <w:sz w:val="18"/>
          <w:szCs w:val="18"/>
          <w:vertAlign w:val="superscript"/>
        </w:rPr>
        <w:t>7</w:t>
      </w:r>
      <w:r>
        <w:rPr>
          <w:rFonts w:ascii="Verdana" w:hAnsi="Verdana"/>
          <w:color w:val="000000"/>
          <w:sz w:val="18"/>
          <w:szCs w:val="18"/>
        </w:rPr>
        <w:t>, касающиеся ограничения участия в выборах и голосовании граждан, содержащихся по приговору суда в местах лишения свободы, в зависимости от степени тяжести совершаемого правонарушения.</w:t>
      </w:r>
    </w:p>
    <w:p w14:paraId="45165D7B" w14:textId="77777777" w:rsidR="00C5648D" w:rsidRDefault="00C5648D" w:rsidP="0024026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целях устранения неопределенностей в действующем законодательстве Республики Беларусь по месту директив Президента Республики Беларусь и программных законов в иерархии нормативных правовых актов обоснована необходимость внесения изменений в ст. 10 Закона Республики Беларусь от 10.01.2000 № 361-З «О нормативных правовых актах Республики Беларусь»</w:t>
      </w: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в части придания им большей юридической силы.</w:t>
      </w:r>
    </w:p>
    <w:p w14:paraId="060D18A5"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См.: Конституция Республики Беларусь от 15.03.1994 № 2875-XII (с внесенны</w:t>
      </w:r>
      <w:r>
        <w:rPr>
          <w:rFonts w:ascii="Verdana" w:hAnsi="Verdana"/>
          <w:color w:val="000000"/>
          <w:sz w:val="18"/>
          <w:szCs w:val="18"/>
        </w:rPr>
        <w:br/>
        <w:t>ми изменениями и дополнениями, принятыми на республиканских референдумах</w:t>
      </w:r>
      <w:r>
        <w:rPr>
          <w:rFonts w:ascii="Verdana" w:hAnsi="Verdana"/>
          <w:color w:val="000000"/>
          <w:sz w:val="18"/>
          <w:szCs w:val="18"/>
        </w:rPr>
        <w:br/>
        <w:t>24.11.1996, 17.10.2004) // Национальный реестр правовых актов Республики Беларусь.</w:t>
      </w:r>
      <w:r>
        <w:rPr>
          <w:rFonts w:ascii="Verdana" w:hAnsi="Verdana"/>
          <w:color w:val="000000"/>
          <w:sz w:val="18"/>
          <w:szCs w:val="18"/>
        </w:rPr>
        <w:br/>
        <w:t>1999. № 1, 1/0.</w:t>
      </w:r>
    </w:p>
    <w:p w14:paraId="3F772711"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См.: Кодекс Республики Беларусь от 11.02.2000 № 370-З «Избирательный ко</w:t>
      </w:r>
      <w:r>
        <w:rPr>
          <w:rFonts w:ascii="Verdana" w:hAnsi="Verdana"/>
          <w:color w:val="000000"/>
          <w:sz w:val="18"/>
          <w:szCs w:val="18"/>
        </w:rPr>
        <w:br/>
        <w:t>декс Республики Беларусь» // Звязда. 2000. 12 июля.</w:t>
      </w:r>
    </w:p>
    <w:p w14:paraId="592288B2"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См.: Звязда. 2000. 2 авг.</w:t>
      </w:r>
    </w:p>
    <w:p w14:paraId="1CE3067C"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5. Аргументировано, что в целях повышения эффективности ре</w:t>
      </w:r>
      <w:r>
        <w:rPr>
          <w:rFonts w:ascii="Verdana" w:hAnsi="Verdana"/>
          <w:color w:val="000000"/>
          <w:sz w:val="18"/>
          <w:szCs w:val="18"/>
        </w:rPr>
        <w:br/>
        <w:t>ализации Национальным собранием Республики Беларусь своих пол</w:t>
      </w:r>
      <w:r>
        <w:rPr>
          <w:rFonts w:ascii="Verdana" w:hAnsi="Verdana"/>
          <w:color w:val="000000"/>
          <w:sz w:val="18"/>
          <w:szCs w:val="18"/>
        </w:rPr>
        <w:br/>
        <w:t>номочий и активизации обратной связи с избирателями следует:</w:t>
      </w:r>
    </w:p>
    <w:p w14:paraId="4C7C7327"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внести в ст. 49 Закона Республики Беларусь «О нормативных правовых актах Республики Беларусь» соответствующие коррективы, направленные на повышение вовлеченности депутатов Палаты представителей, членов Совета Республики и гражданского общества в процесс проведения обязательной юридической экспертизы проектов нормативных правовых актов, а также на введение общественной экспертизы проектов нормативных правовых актов;</w:t>
      </w:r>
    </w:p>
    <w:p w14:paraId="5D5A6A2B"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совершенствовать организацию освещения деятельности На-ционального собрания Республики Беларусь в целом и по каждому парламентарию;</w:t>
      </w:r>
    </w:p>
    <w:p w14:paraId="70A7ED01"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сформировывать палатами Парламента либо отдельными фракциями (если они есть) консолидированную программу своей деятельности;</w:t>
      </w:r>
    </w:p>
    <w:p w14:paraId="753C2317"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расширить перечень субъектов, инициирующих право отзыва депутата Палаты представителей, включив в него также политические партии и трудовые коллективы.</w:t>
      </w:r>
    </w:p>
    <w:p w14:paraId="1F1B2092"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6. Обоснована необходимость расширения полномочий Нацио</w:t>
      </w:r>
      <w:r>
        <w:rPr>
          <w:rFonts w:ascii="Verdana" w:hAnsi="Verdana"/>
          <w:color w:val="000000"/>
          <w:sz w:val="18"/>
          <w:szCs w:val="18"/>
        </w:rPr>
        <w:br/>
        <w:t>нального собрания Республики Беларусь путем:</w:t>
      </w:r>
    </w:p>
    <w:p w14:paraId="6EBD3436"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разработки и принятия закона «О парламентском контроле в Республике Беларусь», который позволит обеспечить последовательную реализацию принципа разделения властей и, соответственно, усовершенствовать механизм сдержек и противовесов;</w:t>
      </w:r>
    </w:p>
    <w:p w14:paraId="6B88FE24"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совместного участия Президента Республики Беларусь и Палаты представителей Национального собрания Республики Беларусь в решении кадровых вопросов;</w:t>
      </w:r>
    </w:p>
    <w:p w14:paraId="018A951B"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наделения Национального собрания Республики Беларусь новым полномочием — работой с молодежью, что позволит установить контакт между молодежью и Национальным собранием Республики Беларусь, привлечь внимание парламентариев к ее проблемам, повысить уровень правовой культуры среди молодежи.</w:t>
      </w:r>
    </w:p>
    <w:p w14:paraId="3C86E12F"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7. На основании существующей тенденции реализации положе</w:t>
      </w:r>
      <w:r>
        <w:rPr>
          <w:rFonts w:ascii="Verdana" w:hAnsi="Verdana"/>
          <w:color w:val="000000"/>
          <w:sz w:val="18"/>
          <w:szCs w:val="18"/>
        </w:rPr>
        <w:br/>
        <w:t>ний Конституции Республики Беларусь предложен ряд мер по разре</w:t>
      </w:r>
      <w:r>
        <w:rPr>
          <w:rFonts w:ascii="Verdana" w:hAnsi="Verdana"/>
          <w:color w:val="000000"/>
          <w:sz w:val="18"/>
          <w:szCs w:val="18"/>
        </w:rPr>
        <w:br/>
        <w:t>шению процедурных проблем:</w:t>
      </w:r>
    </w:p>
    <w:p w14:paraId="1D79A0A5"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 предусмотреть возможность сбора установленного в законода</w:t>
      </w:r>
      <w:r>
        <w:rPr>
          <w:rFonts w:ascii="Verdana" w:hAnsi="Verdana"/>
          <w:color w:val="000000"/>
          <w:sz w:val="18"/>
          <w:szCs w:val="18"/>
        </w:rPr>
        <w:br/>
        <w:t>тельстве количества подписей граждан Республики Беларусь посред</w:t>
      </w:r>
      <w:r>
        <w:rPr>
          <w:rFonts w:ascii="Verdana" w:hAnsi="Verdana"/>
          <w:color w:val="000000"/>
          <w:sz w:val="18"/>
          <w:szCs w:val="18"/>
        </w:rPr>
        <w:br/>
        <w:t>ством информационных технологий в целях упрощения механизма права</w:t>
      </w:r>
      <w:r>
        <w:rPr>
          <w:rFonts w:ascii="Verdana" w:hAnsi="Verdana"/>
          <w:color w:val="000000"/>
          <w:sz w:val="18"/>
          <w:szCs w:val="18"/>
        </w:rPr>
        <w:br/>
        <w:t>законодательной инициативы гражданами Республики Беларусь, обла</w:t>
      </w:r>
      <w:r>
        <w:rPr>
          <w:rFonts w:ascii="Verdana" w:hAnsi="Verdana"/>
          <w:color w:val="000000"/>
          <w:sz w:val="18"/>
          <w:szCs w:val="18"/>
        </w:rPr>
        <w:br/>
        <w:t>дающих избирательным правом, в количестве не менее 50 тыс. человек;</w:t>
      </w:r>
    </w:p>
    <w:p w14:paraId="5E148D57"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внести уточнение в нормативные правовые акты Республики Беларусь в части определения периода, в течение которого палатами Национального собрания Республики Беларусь допущены систематические нарушения Конституции Республики Беларусь. Например, в течение года (что предпочтительнее) или в течение всего срока полномочий палат Национального собрания Республики Беларусь;</w:t>
      </w:r>
    </w:p>
    <w:p w14:paraId="557F33AC"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внести уточнение в нормативные правовые акты Республики Беларусь в части законодательного закрепления такой ключевой дефиниции, как «особая необходимость» издания Президентом Республики Беларусь временных декретов.</w:t>
      </w:r>
    </w:p>
    <w:p w14:paraId="0BEE2B00"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8. В целях усиления воздействия ежегодных посланий Конституционного Суда Республики Беларусь на работу Национального собрания Республики Беларусь обоснована целесообразность закрепить в законодательстве Республики Беларусь непосредственное осуществление судьями Конституционного Суда Республики Беларусь «презентации» посланий Конституционного Суда Республики Беларусь в палатах Национального собрания Республики Беларусь. Также предлагается применить данный опыт Республики Беларусь в Российской Федерации.</w:t>
      </w:r>
    </w:p>
    <w:p w14:paraId="4AF4467D" w14:textId="77777777" w:rsidR="00C5648D" w:rsidRDefault="00C5648D" w:rsidP="00C5648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w:t>
      </w:r>
      <w:r>
        <w:rPr>
          <w:rStyle w:val="apple-converted-space"/>
          <w:rFonts w:ascii="Verdana" w:hAnsi="Verdana"/>
          <w:color w:val="000000"/>
          <w:sz w:val="18"/>
          <w:szCs w:val="18"/>
        </w:rPr>
        <w:t> </w:t>
      </w:r>
      <w:r>
        <w:rPr>
          <w:rFonts w:ascii="Verdana" w:hAnsi="Verdana"/>
          <w:color w:val="000000"/>
          <w:sz w:val="18"/>
          <w:szCs w:val="18"/>
        </w:rPr>
        <w:t>Представленные в диссертационном исследовании положения и выводы могут стать эффективными инструментами для дальнейшего совершенствования организации и повышения результативности деятельности Национального собрания Республики Беларусь и послужить своеобразной дорожной картой для теоретических и практических исследований.</w:t>
      </w:r>
    </w:p>
    <w:p w14:paraId="1840F8B0" w14:textId="77777777" w:rsidR="00C5648D" w:rsidRDefault="00C5648D" w:rsidP="00C5648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Апробация результатов работы</w:t>
      </w:r>
      <w:r>
        <w:rPr>
          <w:rFonts w:ascii="Verdana" w:hAnsi="Verdana"/>
          <w:color w:val="000000"/>
          <w:sz w:val="18"/>
          <w:szCs w:val="18"/>
        </w:rPr>
        <w:t>. Основные положения и выводы диссертационного исследования выносились на обсуждение научной общественности, используются в учебном процессе и в работе Государственной Думы Федерального Собрания Российской Федерации, а также изложены в семи опубликованных работах, в том числе в трех статьях в изданиях, рекомендованных ВАК при Минобрнауки России для опубликования результатов диссертационного исследования.</w:t>
      </w:r>
    </w:p>
    <w:p w14:paraId="0F913229" w14:textId="77777777" w:rsidR="00C5648D" w:rsidRDefault="00C5648D" w:rsidP="00C5648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состоит из введения, трех глав, включающих шесть параграфов, заключения, библиографического списка и приложений.</w:t>
      </w:r>
    </w:p>
    <w:p w14:paraId="503E078A" w14:textId="77777777" w:rsidR="00C5648D" w:rsidRDefault="00C5648D" w:rsidP="00C5648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Конституционно-правовые основы формирования Национального собрания Республики Беларусь</w:t>
      </w:r>
    </w:p>
    <w:p w14:paraId="76B41F42"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28 Конституции ССРБ 1919 г. малый Президиум являлся единым и общим для большого и малого президиумов. В числе прочих полномочий, установленных Конституцией ССРБ 1919 г., Президиум ЦИК решал неотложные вопросы законодательного характера. Так, 8 февраля 1919 г. был издан Продовольственный декрет ЦИК, а также приняты постановление Президиума ЦИК о правах продовольственных органов и Положение о выборах в волостные и сельские Советы16.</w:t>
      </w:r>
    </w:p>
    <w:p w14:paraId="772016EB"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К полномочиям большого Президиума относилось общее управление делами ССРБ. В целях обеспечения осуществления данного полномочия большой Президиум был вправе издавать декреты, распоряжения, инструкции (ст. 30 Конституции ССРБ 1919 г.).</w:t>
      </w:r>
    </w:p>
    <w:p w14:paraId="251C1D99"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 отметить, что Конституция ССРБ 1919 г. детально не закрепляла положения, относящиеся к статусу органов государственной власти, не конкретизировала полномочия съезда Советов Белоруссии, за исключением ответственности перед ним ЦИК (ст. 21 Конституции ССРБ 1919 г.)17.</w:t>
      </w:r>
    </w:p>
    <w:p w14:paraId="42A84389"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освобождения Минска от польской интервенции 31 июля 1920 г. была принята Декларация о провозглашении независимости Советской Социалистической Республики Белоруссия. В Декларации провозглашалось, что вся власть принадлежала Военно-Революционному Комитету (далее — ВРК) до созыва избранного съезда Советов рабочих и красноармейских депутатов Белоруссии.</w:t>
      </w:r>
    </w:p>
    <w:p w14:paraId="4C33A726"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ВРК являлся чрезвычайным органом власти, ввиду чего его полномочия имели временное ограничение. Так, основными полномочиями ВРК являлись: организация советской власти на местах; подготовка созыва съезда Советов; помощь и поддержка Красной Армии: издание приказов и циркулярных писем. Однако циркулярные письма издавались совместно с партийными органами. 14–17 декабря 1920 г. на Втором Всебелорусском Съезде Советов были приняты дополнения к Конституции 1919 г. в части реформирования системы органов государственной власти, их структуры и полномочий18.</w:t>
      </w:r>
    </w:p>
    <w:p w14:paraId="74A04879"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высшим органом власти ССРБ являлся съезд Советов Белоруссии, который формировался из пpeдcтaвитeлeй гopoдcкиx Coвeтoв пo pacчeтy один дeпyтaт oт 2 000 избиpaтeлeй </w:t>
      </w:r>
      <w:r>
        <w:rPr>
          <w:rFonts w:ascii="Verdana" w:hAnsi="Verdana"/>
          <w:color w:val="000000"/>
          <w:sz w:val="18"/>
          <w:szCs w:val="18"/>
        </w:rPr>
        <w:lastRenderedPageBreak/>
        <w:t>и oт вoлocтныx и yeздныx cъeздoв пo pacчeтy один дeпyтaт нa 10 000 житeлeй. Вместе с тем в дополнениях к Конституции ССРБ 1919 г. закреплялось примечание к порядку формирования съезда Совета, согласно которому города, не имеющие Советов или ввиду невозможности установить чиcлo избиpaтeлeй, избиpaют, кaк oт cъездoв, т. e. один дeлeгaт нa 10 000 житeлeй.</w:t>
      </w:r>
    </w:p>
    <w:p w14:paraId="44094AD5"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Созыв съезда Советов Белоруссии осуществлялся ЦИК пo eгo дoклaдy или пo тpeбoвaнию Coвeтoв мeстнocтeй, нacчитывaющих 2/3 вceгo нaceлeния.</w:t>
      </w:r>
    </w:p>
    <w:p w14:paraId="3388B767"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дополнениям к Конституции ССРБ 1919 г. высшим законодательным, контролирующим и распорядительным органом в период между съездами Советов являлся ЦИК Белоруссии, состоявший из 60 человек, избираемых съездом Советов. При этом часть членов ЦИК должна была работать постоянно в центре, а остальные — в уездах Белоруссии. ЦИК избирал его Президиум в составе председателя и четырех членов, который в межсессионный период осуществлял полномочия ЦИК.</w:t>
      </w:r>
    </w:p>
    <w:p w14:paraId="1EF0C515"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дополнениями к Конституции ССРБ 1919 г. был учрежден новый государственный орган — Совет Народных Комиссаров (далее — СНК), который осуществлял общее управление делами ССРБ и был наделен законодательными полномочиями. В целях выполнения законодательной функции СНК был вправе издавать декреты, постановления, распоряжения, инструкции. Но при этом ЦИК: а) был вправе отменить или приостановить любой документ СНК; б) был обязан утверждать решения Президиума ЦИК и СНК, имеющие общеполитическое значение. В целом правом издания правовых актов, имеющих общегосударственное значение, обладали съезд Советов, ЦИК и его Президиум, а также СНК.</w:t>
      </w:r>
    </w:p>
    <w:p w14:paraId="15C5883B"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Важным представляется и то, что председатель ЦИК являлся и председателем СНК. Примечательно отметить также то, что кроме законодательных функций СНК оба президиума ЦИК (большой и малый) были наделены полномочиями, схожими с полномочиями Правительства Республики Беларусь (далее – Правительство, Совет Министров) или Президента, закрепленными в Конституции Республики Беларусь г. (ст. 79 и 107 Конституции Республики Беларусь 1994 г. действующей редакции)19. По мнению В. А. Круталевича, дополнения к Конституции ССРБ 1919 г. являлись неким «укороченным» вариантом конституции, «поскольку они не содержали многих положений, подлежащих конституционному регулированию»</w:t>
      </w:r>
    </w:p>
    <w:p w14:paraId="5607EB7E" w14:textId="77777777" w:rsidR="00C5648D" w:rsidRDefault="00C5648D" w:rsidP="00C5648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Законодательная деятельность Национального собрания Республики Беларусь</w:t>
      </w:r>
    </w:p>
    <w:p w14:paraId="08E21320"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Образование избирательных округов, избирательных участков, регистрация (учет) избирателей, составление списков избирателей. Подготовку и проведение выборов в нижнюю палату Парламента осуществляют Центральная избирательная комиссия, окружные избирательные комиссии и участковые избирательные комиссии. Не позднее чем за пять месяцев до окончания срока полномочий нижней палаты Парламента Центральная избирательная комиссия устанавливает среднюю численность избирателей на избирательный округ по выборам депутатов, которая определяется исходя из числа граждан, обладающих избирательным правом и проживающих на территории соответствующего избирательного округа при проведении последних выборов.</w:t>
      </w:r>
    </w:p>
    <w:p w14:paraId="640457A3"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Центральная избирательная комиссия формирует 110 избирательных округов для проведения выборов депутатов Палаты представителей по представлению Минского городского и областных исполнительных комитетов102.</w:t>
      </w:r>
    </w:p>
    <w:p w14:paraId="15A2FE14"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роспуске нижней палаты Парламента выборы депутатов в Палату представителей нового созыва проводятся по утвержденным избирательным округам для выборов депутатов прежнего созыва нижней палаты Парламента.</w:t>
      </w:r>
    </w:p>
    <w:p w14:paraId="28FA1464"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возникновении ситуаций, вследствие которых в избирательном округе не осталось ни одного кандидата, окружная, территориальная избирательная комиссия направляет субъектам, обладающим правом выдвижения кандидатур в депутаты нижней палаты Парламента, предложение о выдвижении новых кандидатов. Формирование избирательных комиссий. До принятия Избирательного кодекса окружные и территориальные избирательные комиссии формировались по административной модели: — образовывались областными, городскими, районными исполнительными комитетами. На сегодняшний день окружные и территориальные комиссии образовываются соответствующими президиумами Советов депутатов и исполнительными комитетами на совместных заседаниях.</w:t>
      </w:r>
    </w:p>
    <w:p w14:paraId="1CED12FA"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Прежний порядок образования комиссий исполнительными органами сохранен только для участковых, а также гopoдcкиx в гopoдaх paйoннoгo пoдчинeния, пoceлкoвыx и ceльcкиx тeppитopиaльныx избиpaтeльныx кoмиccий103. Выдвижение кандидатов (список кандидатов) и их регистрация. Процедура выдвижения кандидатов в депутаты нижней палаты Парламента начинается за 70 дней и заканчивается за 40 дней до выборов. Правом выдвижения кандидатов в депутаты нижней палаты Парламента обладают политические партии (А), трудовые коллективы (Б) и инициативные группы граждан, созданные путем сбора подписей (В).</w:t>
      </w:r>
    </w:p>
    <w:p w14:paraId="4DFDC1B5"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А. Согласно ч. 1 и 4 ст. 62 Избирательного кодекса высшие органы политических партий осуществляют выдвижение кандидатов в депутаты нижней палаты Парламента по каждому избирательному округу.</w:t>
      </w:r>
    </w:p>
    <w:p w14:paraId="1AFD2222"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важным отметить, что внесенными поправками в Избирательный кодекс в январе 2010 г. был упрощен для политических партий порядок выдвижения их кандидатов в депутаты104. Так, Центральная избирательная комиссия отмечает, что число зарегистрированных кандидатов в депутаты, выдвинутых политическими партиями в 2012 г., превысило аналогичный показатель 2008 г. в четыре раза105. Б. Трудовые коллективы, нaxoдящиеcя нa тeppитopии избиpaтeльнoгo oкрyгa, нacчитывaющие нe мeнeе 300 чeлoвeк paбoтaющиx и имeющие пpaвa юpидичecкoгo лицa, вправе выдвинуть только одного кандидата в депутаты на собраниях (конференциях), на которых присутствовало более половины трудового состава.</w:t>
      </w:r>
    </w:p>
    <w:p w14:paraId="7C1342F9"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 Группа избирателей в количестве не менее десяти человек вправе выдвигать кандидата в депутаты путем сбора подписей. Не позднее чем за 65 дней до выборов в окружную избирательную комиссию подается заявление от инициативной группы, имеющей намерение выдвинуть кандидата. В заявлении представляется список членов инициативной группы с указанием руководителя.</w:t>
      </w:r>
    </w:p>
    <w:p w14:paraId="09FD3562"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выдвижения кандидатуры в депутаты Палаты представителей от группы граждан по избирательному округу необходима поддержка не менее 1 000 избирателей, проживающих на территории конкретного избирательного округа. Проверку на соответствие порядка выдвижения кандидатов и принятие решения о регистрации кандидатов осуществляет окружная избирательная комиссия. В ст. 681 Избирательного кодекса устанавливается исчерпывающий перечень оснований для отказа в регистрации кандидата в депутата Палаты представителей Центральной избирательной комиссией, окружной и территориальной избирательными комиссиями. Как отмечает А. В. Миронов, в случае представления кандидатами не соответствующих действительности сведений недостоверность выступает элементом их морального порицания и влечет за собой соответствующие правовые последствия. А. В. Миронов также полагает, что «критерий оценки подобных субъектов в избирательном процессе поднимается законодателем на достаточно высокий морально-нравственный уровень»</w:t>
      </w:r>
    </w:p>
    <w:p w14:paraId="51F5ABDE" w14:textId="77777777" w:rsidR="00C5648D" w:rsidRDefault="00C5648D" w:rsidP="00C5648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Иные направления деятельности Национального собрания Республики Беларусь</w:t>
      </w:r>
    </w:p>
    <w:p w14:paraId="58CF577D"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Правительство обладает значительными полномочиями в законодательном процессе173. К ним относятся: законодательная инициатива, предложение Президенту об издании временных декретов, обращение в Конституционный Суд, участие в заседаниях палат Парламента и иных органов Парламента.</w:t>
      </w:r>
    </w:p>
    <w:p w14:paraId="255C2935"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важным отдельно отметить установленное в ч. 3 и 4 ст. 29 Закона Республики Беларусь от 23.07.2008 № 424-З «О Совете Министров Республики Беларусь»174 (далее — Закон № 424-З) право Совета Министров при наличии согласия Президента требовать от обеих палат Национального собрания принять на своих заседаниях законопроект, внесенный Правительством, в целом или его части с сохранением поправок, предложенных или принятых Президентом либо Правительством. Кроме того, на основании поручения Президента Правительство вправе требовать от Палаты представителей окончательного решения, если согласительной комиссией вследствие отклонения проекта закона верхней палатой Парламента не принят согласованный текст проекта закона.</w:t>
      </w:r>
    </w:p>
    <w:p w14:paraId="5BA5A514"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Законодательная инициатива. В отличие от Конституционного Суда Российской Федерации, Конституционный Суд не обладает правом законодательной инициативы. Вместе с тем председатель Конституционного Суда на основании абз. 6 ч. 2 ст. 25 Кодекса о судоустройстве и статусе судей175 вправе вносить в палаты Парламента, Президенту, в Правительство и в другие органы государственной власти предложения по совершенствовангию законодательства, а также по устранению нарушений. Участие в заседаниях палат Парламента. В соответствии с ч. 1 ст. 63 Регламента Палаты представителей176 и ст. 106 Регламента Совета Республики177 на заседаниях каждой из палат Национального собрания вправе присутствовать председатели Конституционного Суда, Bepxoвнoгo Cyдa, Bыcшeгo Xoзяйcтвeннoгo Cyдa178. Так, представители судебных органов имеют право принимать участие в заседаниях палат Парламента и задавать вопросы, предоставлять соответствующие материалы в секретариат при наличии согласия председательствующего соответствующей палаты Парламента.</w:t>
      </w:r>
    </w:p>
    <w:p w14:paraId="7CBACD66"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Председатели палат Парламента и их зaмecтитeли, a тaкжe пo иx пopyчeнию пpeдceдaтeли пocтoянныx кoмиccий палат Парламента вправе принимать участие в заседаниях Пленума Верховного Суда Республики Беларусь (абз. 2 ч. 2 ст. 50 Кодекса о судоустройстве и статусе судей). Судебный контроль за соответствием нормативных правовых актов. Конституция Республики Беларусь (ч. 1 ст. 116) наделяет Конституционный Суд таким полномочием, как осуществление контроля за конституционностью нормативных актов.</w:t>
      </w:r>
    </w:p>
    <w:p w14:paraId="2566B9CB"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 внимание следует уделить принятому Декрету Президента Республики Беларусь 26.08.2008 № 14 «О некоторых мерах по совершенствованию деятельности Конституционного Суда Республики Беларусь»179, который существенно расширил статус Конституционно Суда. В частности, Конституционный Суд стал наделен такими полномочиями, как осуществление обязательного предварительного контроля конституционности законов, принятых нижней палатой Парламента и одобренной верхней палатой Парламента либо принятых нижней палатой Парламента в порядке, установленном в ч. 5 ст. 100 Конституции Республики Беларусь (до подписания Президентом данных законов); по поручению Президента дача официального толкования декретов и указов Президента, затрагивающих конституционные права, свободы и обязанности граждан, и др.</w:t>
      </w:r>
    </w:p>
    <w:p w14:paraId="70F25E69" w14:textId="77777777" w:rsidR="00C5648D" w:rsidRDefault="00C5648D" w:rsidP="00C5648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Вопросы повышения ответственности Национального собрания Республики Беларусь</w:t>
      </w:r>
    </w:p>
    <w:p w14:paraId="1D1CCECB"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Беларуси открывает для Президента большие возможности для роспуска Парламента246.</w:t>
      </w:r>
    </w:p>
    <w:p w14:paraId="753603E8"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В ст. 94 Конституции Республики Беларусь и ст. 5 Закона № 370-З предусматривается ряд случаев, когда полномочия палат Парламента могут быть прекращены досрочно: - отказ в доверии Правительству; - выражение вотума недоверия Правительству; - двукратный отказа в даче согласия на назначение Премьер-министра Республики Беларусь; - систематическое (более двух раз) или грубое нарушение Конституции Республики Беларусь на основании заключения Конституционного Суда; - прекращение полномочий Совета Республики. Основополагающим документом, закрепляющим механизм взаимодействия между Президентом, Советом Министров и Парламентом, а также процедуру по вопросу о доверия либо выражением вотума недоверия Совету Министров, является Конституция Республики Беларусь.</w:t>
      </w:r>
    </w:p>
    <w:p w14:paraId="3440C408"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Парламентская ответственность Правительства в первую очередь раскрывается в рассмотрении вопросов, связанных с доверием Правительству.</w:t>
      </w:r>
    </w:p>
    <w:p w14:paraId="33AD3E59"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основании ч. 5, 8, 9 ст. 106 и п. 4–6 ч. 1 ст. 97 Конституции Республики Беларусь Палата представителей рассматривает вопрос о доверии Правительству по инициативе Премьер-министра, в случае назначения Президентом Премьер-министра, а также при рассмотрении доклада Премьер-министра о программе деятельности Совета Министров. Также следует заметить, что повторное отклонение Палатой представителей программы деятельности Совета Министров означает выражение вотума недоверия Правительству, что также является основанием для роспуска палат </w:t>
      </w:r>
      <w:r>
        <w:rPr>
          <w:rFonts w:ascii="Verdana" w:hAnsi="Verdana"/>
          <w:color w:val="000000"/>
          <w:sz w:val="18"/>
          <w:szCs w:val="18"/>
        </w:rPr>
        <w:lastRenderedPageBreak/>
        <w:t>Парламента. Вместе с тем В. Н. Дубовицкий полагает, что на практике этот вопрос может быть связан с принятием решения по какому-либо важному, принципиальному вопросу247.</w:t>
      </w:r>
    </w:p>
    <w:p w14:paraId="183DB533"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не отметить отсутствие безусловного рычага у Парламента при отставке Правительства. Конституция Республики Беларусь не закрепляет возможности внесения Президентом альтернативной кандидатуры на должность Премьер-министра. Не менее важным представляется и отсутствие права у Совета Республики выносить вопрос о недоверии Правительству по программе деятельности или по иному конкретному поводу. Отметим также, что отставка Правительства предполагает увольнение как Премьер-министра, так и всех членов Правительства. В соответствии с ч. 3 ст. 10 Закона № 424-З правом освобождения от должности министров обладает только Президент.</w:t>
      </w:r>
    </w:p>
    <w:p w14:paraId="125D2957"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Правительство в большей степени несет ответственность перед Главой государства. Полномочия Совета Республики могут быть досрочно прекращены в случаях: - систематического (более двух раз) или грубого нарушения Конституции Республики Беларусь (на основании заключения Конституционного Суда); - прекращения полномочий Палаты представителей. В Беларуси право роспуска палат Парламента является исключительным правом Президента (п. 3 ч. 1 ст. 84 Конституции). В отличие от президентов Федеративной Республики Германии, Россиийской Федерации и Французской Республики, Президент обладает правом роспуска как нижней, так и верхней палат Парламента248. Однако без заключения Конституционного Суда Президент не вправе воспользоваться данным полномочием в случае систематического или грубого нарушения палатами Парламента Конституции Республики Беларусь. Видится целесообразным указать период, в течение которого допущены систематические нарушения, например в течение года (что предпочтительнее) или в течение всего срока полномочий. Также считаем неприемлимым прекращать полномочия палат Парламента, если принятые Парламентом законы прошли предварительный контроль в Конституционном Суде, а нарушений Конституции выявлено не было. В юридической литературе также отмечается необходимость законодательного определения такой ключевой дефениции, как «грубое нарушение Конституции»249.</w:t>
      </w:r>
    </w:p>
    <w:p w14:paraId="1B07B0D8"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 большой интерес закрепление в Конституции Республики Беларусь право Президента принять решение об одновременном досрочном роспуске обеих палат Парламента. С практической точки зрения данная норма вызывает ряд вопросов в ее применении. Нарушение синхронности в работе Парламента фактически оставляет государство без действующего Парламента.</w:t>
      </w:r>
    </w:p>
    <w:p w14:paraId="111817D4" w14:textId="77777777" w:rsidR="00C5648D" w:rsidRDefault="00C5648D" w:rsidP="00C5648D">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Примером разрешения данного вопроса мог бы стать существующий опыт Федеративной Республики Германии, где предусмотрена возможность создания органа (совместного комитета), заменяющего парламент в случае чрезвычайного положения или состояния обороны и наделенного принадлежащими парламенту правами. Совместный комитет формируется из 48 членов: 2/3 — из депутатов Бундестага и 1/3 — из членов Бундесрата.</w:t>
      </w:r>
    </w:p>
    <w:p w14:paraId="1747BAB2" w14:textId="77777777" w:rsidR="00C5648D" w:rsidRPr="00C5648D" w:rsidRDefault="00C5648D" w:rsidP="00C5648D"/>
    <w:sectPr w:rsidR="00C5648D" w:rsidRPr="00C5648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755C2" w14:textId="77777777" w:rsidR="00240263" w:rsidRDefault="00240263">
      <w:pPr>
        <w:spacing w:after="0" w:line="240" w:lineRule="auto"/>
      </w:pPr>
      <w:r>
        <w:separator/>
      </w:r>
    </w:p>
  </w:endnote>
  <w:endnote w:type="continuationSeparator" w:id="0">
    <w:p w14:paraId="4521E54E" w14:textId="77777777" w:rsidR="00240263" w:rsidRDefault="0024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04A96" w14:textId="77777777" w:rsidR="00240263" w:rsidRDefault="00240263">
      <w:pPr>
        <w:spacing w:after="0" w:line="240" w:lineRule="auto"/>
      </w:pPr>
      <w:r>
        <w:separator/>
      </w:r>
    </w:p>
  </w:footnote>
  <w:footnote w:type="continuationSeparator" w:id="0">
    <w:p w14:paraId="059669E5" w14:textId="77777777" w:rsidR="00240263" w:rsidRDefault="00240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96B23AE"/>
    <w:multiLevelType w:val="multilevel"/>
    <w:tmpl w:val="F918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14"/>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263"/>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28780</TotalTime>
  <Pages>13</Pages>
  <Words>5101</Words>
  <Characters>29081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34114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5623</cp:revision>
  <cp:lastPrinted>2009-02-06T05:36:00Z</cp:lastPrinted>
  <dcterms:created xsi:type="dcterms:W3CDTF">2016-09-19T15:12:00Z</dcterms:created>
  <dcterms:modified xsi:type="dcterms:W3CDTF">2017-02-17T14:28:00Z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