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3433"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Канатчиков, Игорь Владимирович.</w:t>
      </w:r>
    </w:p>
    <w:p w14:paraId="7C1B588C"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 xml:space="preserve">Гамильтонов формализм Де Дондера-Вейля в теории </w:t>
      </w:r>
      <w:proofErr w:type="gramStart"/>
      <w:r w:rsidRPr="009B555A">
        <w:rPr>
          <w:rFonts w:ascii="Helvetica" w:eastAsia="Symbol" w:hAnsi="Helvetica" w:cs="Helvetica"/>
          <w:b/>
          <w:bCs/>
          <w:color w:val="222222"/>
          <w:kern w:val="0"/>
          <w:sz w:val="21"/>
          <w:szCs w:val="21"/>
          <w:lang w:eastAsia="ru-RU"/>
        </w:rPr>
        <w:t>поля :</w:t>
      </w:r>
      <w:proofErr w:type="gramEnd"/>
      <w:r w:rsidRPr="009B555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Калининград, 2000. - 107 с.</w:t>
      </w:r>
    </w:p>
    <w:p w14:paraId="4020F2C3"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Оглавление диссертациикандидат физико-математических наук Канатчиков, Игорь Владимирович</w:t>
      </w:r>
    </w:p>
    <w:p w14:paraId="4B0DFF14"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I. Введение</w:t>
      </w:r>
    </w:p>
    <w:p w14:paraId="72FF6CBE"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II. Глава 1. Теория Де Дондера - Вейля и форма Пуанкаре-Картана</w:t>
      </w:r>
    </w:p>
    <w:p w14:paraId="4BFBA3FE"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1.1 Гамильтонова формулировка полевых уравнений до Де Дондеру - Вейлю</w:t>
      </w:r>
    </w:p>
    <w:p w14:paraId="0FCF2191"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1.2 Форма Пуанкаре-Картана и Гамильтоиовы полевые уравнения Де Дондера-</w:t>
      </w:r>
      <w:proofErr w:type="gramStart"/>
      <w:r w:rsidRPr="009B555A">
        <w:rPr>
          <w:rFonts w:ascii="Helvetica" w:eastAsia="Symbol" w:hAnsi="Helvetica" w:cs="Helvetica"/>
          <w:b/>
          <w:bCs/>
          <w:color w:val="222222"/>
          <w:kern w:val="0"/>
          <w:sz w:val="21"/>
          <w:szCs w:val="21"/>
          <w:lang w:eastAsia="ru-RU"/>
        </w:rPr>
        <w:t>Вейля .</w:t>
      </w:r>
      <w:proofErr w:type="gramEnd"/>
      <w:r w:rsidRPr="009B555A">
        <w:rPr>
          <w:rFonts w:ascii="Helvetica" w:eastAsia="Symbol" w:hAnsi="Helvetica" w:cs="Helvetica"/>
          <w:b/>
          <w:bCs/>
          <w:color w:val="222222"/>
          <w:kern w:val="0"/>
          <w:sz w:val="21"/>
          <w:szCs w:val="21"/>
          <w:lang w:eastAsia="ru-RU"/>
        </w:rPr>
        <w:t xml:space="preserve"> .,.&lt;.</w:t>
      </w:r>
    </w:p>
    <w:p w14:paraId="1847666F"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III.</w:t>
      </w:r>
    </w:p>
    <w:p w14:paraId="063170FE"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 xml:space="preserve">Глава 2. Основные структуры Гамильтонова формализма ДВ • ' </w:t>
      </w:r>
      <w:proofErr w:type="gramStart"/>
      <w:r w:rsidRPr="009B555A">
        <w:rPr>
          <w:rFonts w:ascii="Helvetica" w:eastAsia="Symbol" w:hAnsi="Helvetica" w:cs="Helvetica"/>
          <w:b/>
          <w:bCs/>
          <w:color w:val="222222"/>
          <w:kern w:val="0"/>
          <w:sz w:val="21"/>
          <w:szCs w:val="21"/>
          <w:lang w:eastAsia="ru-RU"/>
        </w:rPr>
        <w:t>■ .</w:t>
      </w:r>
      <w:proofErr w:type="gramEnd"/>
    </w:p>
    <w:p w14:paraId="31C86A62"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 xml:space="preserve">2.1 Полисимплектмческая </w:t>
      </w:r>
      <w:proofErr w:type="gramStart"/>
      <w:r w:rsidRPr="009B555A">
        <w:rPr>
          <w:rFonts w:ascii="Helvetica" w:eastAsia="Symbol" w:hAnsi="Helvetica" w:cs="Helvetica"/>
          <w:b/>
          <w:bCs/>
          <w:color w:val="222222"/>
          <w:kern w:val="0"/>
          <w:sz w:val="21"/>
          <w:szCs w:val="21"/>
          <w:lang w:eastAsia="ru-RU"/>
        </w:rPr>
        <w:t>форма .</w:t>
      </w:r>
      <w:proofErr w:type="gramEnd"/>
      <w:r w:rsidRPr="009B555A">
        <w:rPr>
          <w:rFonts w:ascii="Helvetica" w:eastAsia="Symbol" w:hAnsi="Helvetica" w:cs="Helvetica"/>
          <w:b/>
          <w:bCs/>
          <w:color w:val="222222"/>
          <w:kern w:val="0"/>
          <w:sz w:val="21"/>
          <w:szCs w:val="21"/>
          <w:lang w:eastAsia="ru-RU"/>
        </w:rPr>
        <w:t xml:space="preserve"> .^.</w:t>
      </w:r>
    </w:p>
    <w:p w14:paraId="70A60E96"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2.2 Градуированная каноническая симметрия х 2.3 Скобки мультивекторных полей и форм</w:t>
      </w:r>
    </w:p>
    <w:p w14:paraId="2D8A7A4B"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2.4 Пред-гамильтоновы поля</w:t>
      </w:r>
    </w:p>
    <w:p w14:paraId="34825501"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IV. Глава 3. Алгебраические свойства градуируемой скобки Пуассона</w:t>
      </w:r>
    </w:p>
    <w:p w14:paraId="0703E554"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3.1 Градуируемая алгебра Ли</w:t>
      </w:r>
    </w:p>
    <w:p w14:paraId="3B817273"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3.2 Обобщенные алгебры Герштенхабера. 3.2.1 Правило Лейбница высшего порядка</w:t>
      </w:r>
    </w:p>
    <w:p w14:paraId="701082B0"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3.2.2 Правое градуированное правило Лейбница</w:t>
      </w:r>
    </w:p>
    <w:p w14:paraId="44727CC5"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3.3 Ко-внешнее произведение и алгебра Герштенхабера</w:t>
      </w:r>
    </w:p>
    <w:p w14:paraId="77295B85"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V. Глава 4. Уравнения движения в терминах скобки Пуас</w:t>
      </w:r>
    </w:p>
    <w:p w14:paraId="08A8E1E0"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 xml:space="preserve">4.1 Уравнения движения Гамильтоновых (п - 1) - </w:t>
      </w:r>
      <w:proofErr w:type="gramStart"/>
      <w:r w:rsidRPr="009B555A">
        <w:rPr>
          <w:rFonts w:ascii="Helvetica" w:eastAsia="Symbol" w:hAnsi="Helvetica" w:cs="Helvetica"/>
          <w:b/>
          <w:bCs/>
          <w:color w:val="222222"/>
          <w:kern w:val="0"/>
          <w:sz w:val="21"/>
          <w:szCs w:val="21"/>
          <w:lang w:eastAsia="ru-RU"/>
        </w:rPr>
        <w:t>форм .</w:t>
      </w:r>
      <w:proofErr w:type="gramEnd"/>
      <w:r w:rsidRPr="009B555A">
        <w:rPr>
          <w:rFonts w:ascii="Helvetica" w:eastAsia="Symbol" w:hAnsi="Helvetica" w:cs="Helvetica"/>
          <w:b/>
          <w:bCs/>
          <w:color w:val="222222"/>
          <w:kern w:val="0"/>
          <w:sz w:val="21"/>
          <w:szCs w:val="21"/>
          <w:lang w:eastAsia="ru-RU"/>
        </w:rPr>
        <w:t xml:space="preserve"> 48 ' • 4.2 ДВ полевые уравнения в формулировке скобки Пуассона и канонически сопряженные переменные</w:t>
      </w:r>
    </w:p>
    <w:p w14:paraId="51EDF8DC"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4.3 Сохраняющиеся токи.</w:t>
      </w:r>
    </w:p>
    <w:p w14:paraId="3170E963"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 xml:space="preserve">4.4 Уравнения движения форм произвольной </w:t>
      </w:r>
      <w:proofErr w:type="gramStart"/>
      <w:r w:rsidRPr="009B555A">
        <w:rPr>
          <w:rFonts w:ascii="Helvetica" w:eastAsia="Symbol" w:hAnsi="Helvetica" w:cs="Helvetica"/>
          <w:b/>
          <w:bCs/>
          <w:color w:val="222222"/>
          <w:kern w:val="0"/>
          <w:sz w:val="21"/>
          <w:szCs w:val="21"/>
          <w:lang w:eastAsia="ru-RU"/>
        </w:rPr>
        <w:t>степени .</w:t>
      </w:r>
      <w:proofErr w:type="gramEnd"/>
      <w:r w:rsidRPr="009B555A">
        <w:rPr>
          <w:rFonts w:ascii="Helvetica" w:eastAsia="Symbol" w:hAnsi="Helvetica" w:cs="Helvetica"/>
          <w:b/>
          <w:bCs/>
          <w:color w:val="222222"/>
          <w:kern w:val="0"/>
          <w:sz w:val="21"/>
          <w:szCs w:val="21"/>
          <w:lang w:eastAsia="ru-RU"/>
        </w:rPr>
        <w:t xml:space="preserve"> 53 4.5 Дальнейшие обобщения алгебры Гамильтоновых полей</w:t>
      </w:r>
    </w:p>
    <w:p w14:paraId="53B65028"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VI. Глава 5. Негамильтоновы формы</w:t>
      </w:r>
    </w:p>
    <w:p w14:paraId="142DFC87"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5.1 Негамильтоновы формы и мультиБекторно-значные формы</w:t>
      </w:r>
    </w:p>
    <w:p w14:paraId="433D9365"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5.2 Некоммутативная алгебра Герштенхабера горизонтальных форм VII.</w:t>
      </w:r>
    </w:p>
    <w:p w14:paraId="2C4C670E"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Глава 6. ■ Некоторые приложения</w:t>
      </w:r>
    </w:p>
    <w:p w14:paraId="0A1A4401"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6.1 Взаимодействующие скалярные поля.</w:t>
      </w:r>
    </w:p>
    <w:p w14:paraId="2CAF8B85"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6.2 Электромагнитное поле</w:t>
      </w:r>
    </w:p>
    <w:p w14:paraId="658826C9"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6.3 Струна Намбу-Гото.</w:t>
      </w:r>
    </w:p>
    <w:p w14:paraId="3344D313"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lastRenderedPageBreak/>
        <w:t>6.4 Поле Дирака.</w:t>
      </w:r>
    </w:p>
    <w:p w14:paraId="72624283" w14:textId="77777777" w:rsidR="009B555A" w:rsidRPr="009B555A" w:rsidRDefault="009B555A" w:rsidP="009B555A">
      <w:pPr>
        <w:rPr>
          <w:rFonts w:ascii="Helvetica" w:eastAsia="Symbol" w:hAnsi="Helvetica" w:cs="Helvetica"/>
          <w:b/>
          <w:bCs/>
          <w:color w:val="222222"/>
          <w:kern w:val="0"/>
          <w:sz w:val="21"/>
          <w:szCs w:val="21"/>
          <w:lang w:eastAsia="ru-RU"/>
        </w:rPr>
      </w:pPr>
      <w:r w:rsidRPr="009B555A">
        <w:rPr>
          <w:rFonts w:ascii="Helvetica" w:eastAsia="Symbol" w:hAnsi="Helvetica" w:cs="Helvetica"/>
          <w:b/>
          <w:bCs/>
          <w:color w:val="222222"/>
          <w:kern w:val="0"/>
          <w:sz w:val="21"/>
          <w:szCs w:val="21"/>
          <w:lang w:eastAsia="ru-RU"/>
        </w:rPr>
        <w:t>VIII. Обсуждение и заключение</w:t>
      </w:r>
    </w:p>
    <w:p w14:paraId="77FDBE4B" w14:textId="293EEEEF" w:rsidR="00410372" w:rsidRPr="009B555A" w:rsidRDefault="00410372" w:rsidP="009B555A"/>
    <w:sectPr w:rsidR="00410372" w:rsidRPr="009B55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59CD" w14:textId="77777777" w:rsidR="003806F0" w:rsidRDefault="003806F0">
      <w:pPr>
        <w:spacing w:after="0" w:line="240" w:lineRule="auto"/>
      </w:pPr>
      <w:r>
        <w:separator/>
      </w:r>
    </w:p>
  </w:endnote>
  <w:endnote w:type="continuationSeparator" w:id="0">
    <w:p w14:paraId="6B0B0A9A" w14:textId="77777777" w:rsidR="003806F0" w:rsidRDefault="0038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044F" w14:textId="77777777" w:rsidR="003806F0" w:rsidRDefault="003806F0"/>
    <w:p w14:paraId="2AEB1BA0" w14:textId="77777777" w:rsidR="003806F0" w:rsidRDefault="003806F0"/>
    <w:p w14:paraId="188F8332" w14:textId="77777777" w:rsidR="003806F0" w:rsidRDefault="003806F0"/>
    <w:p w14:paraId="54A8E63C" w14:textId="77777777" w:rsidR="003806F0" w:rsidRDefault="003806F0"/>
    <w:p w14:paraId="6E957A2A" w14:textId="77777777" w:rsidR="003806F0" w:rsidRDefault="003806F0"/>
    <w:p w14:paraId="777C8C73" w14:textId="77777777" w:rsidR="003806F0" w:rsidRDefault="003806F0"/>
    <w:p w14:paraId="002506E6" w14:textId="77777777" w:rsidR="003806F0" w:rsidRDefault="003806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2D268" wp14:editId="25AED9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353E6" w14:textId="77777777" w:rsidR="003806F0" w:rsidRDefault="003806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2D2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D353E6" w14:textId="77777777" w:rsidR="003806F0" w:rsidRDefault="003806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86676B" w14:textId="77777777" w:rsidR="003806F0" w:rsidRDefault="003806F0"/>
    <w:p w14:paraId="6A3A40BF" w14:textId="77777777" w:rsidR="003806F0" w:rsidRDefault="003806F0"/>
    <w:p w14:paraId="57D2D58C" w14:textId="77777777" w:rsidR="003806F0" w:rsidRDefault="003806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CE03FD" wp14:editId="5D7BD1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229F6" w14:textId="77777777" w:rsidR="003806F0" w:rsidRDefault="003806F0"/>
                          <w:p w14:paraId="2D90AC18" w14:textId="77777777" w:rsidR="003806F0" w:rsidRDefault="003806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CE03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8229F6" w14:textId="77777777" w:rsidR="003806F0" w:rsidRDefault="003806F0"/>
                    <w:p w14:paraId="2D90AC18" w14:textId="77777777" w:rsidR="003806F0" w:rsidRDefault="003806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5746DB" w14:textId="77777777" w:rsidR="003806F0" w:rsidRDefault="003806F0"/>
    <w:p w14:paraId="05462816" w14:textId="77777777" w:rsidR="003806F0" w:rsidRDefault="003806F0">
      <w:pPr>
        <w:rPr>
          <w:sz w:val="2"/>
          <w:szCs w:val="2"/>
        </w:rPr>
      </w:pPr>
    </w:p>
    <w:p w14:paraId="6F7C9660" w14:textId="77777777" w:rsidR="003806F0" w:rsidRDefault="003806F0"/>
    <w:p w14:paraId="19A1DE88" w14:textId="77777777" w:rsidR="003806F0" w:rsidRDefault="003806F0">
      <w:pPr>
        <w:spacing w:after="0" w:line="240" w:lineRule="auto"/>
      </w:pPr>
    </w:p>
  </w:footnote>
  <w:footnote w:type="continuationSeparator" w:id="0">
    <w:p w14:paraId="028B00DC" w14:textId="77777777" w:rsidR="003806F0" w:rsidRDefault="00380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6F0"/>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143995</TotalTime>
  <Pages>2</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3879</cp:revision>
  <cp:lastPrinted>2009-02-06T05:36:00Z</cp:lastPrinted>
  <dcterms:created xsi:type="dcterms:W3CDTF">2024-01-07T13:43:00Z</dcterms:created>
  <dcterms:modified xsi:type="dcterms:W3CDTF">2025-08-02T13:35:00Z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