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7249C" w14:textId="3FBAE6FD" w:rsidR="00254859" w:rsidRPr="00C85AAB" w:rsidRDefault="00C85AAB" w:rsidP="00C85AAB">
      <w:r>
        <w:rPr>
          <w:rFonts w:ascii="Verdana" w:hAnsi="Verdana"/>
          <w:b/>
          <w:bCs/>
          <w:color w:val="000000"/>
          <w:shd w:val="clear" w:color="auto" w:fill="FFFFFF"/>
        </w:rPr>
        <w:t>Вівсянник Володимир Васильович. Патогенетичне обгрунтування корекції лікування хворих на хронічну хворобу нирок II-III стадії з наявністю уражень гастродуоденальної ділянки.- Дисертація канд. мед. наук: 14.01.02, Держ. вищ. навч. закл. "Терноп. держ. мед. ун-т ім. І. Я. Горбачевського МОЗ України". - Т., 2013.- 200 с. : табл.</w:t>
      </w:r>
    </w:p>
    <w:sectPr w:rsidR="00254859" w:rsidRPr="00C85AA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85FB6" w14:textId="77777777" w:rsidR="00FC3B8E" w:rsidRDefault="00FC3B8E">
      <w:pPr>
        <w:spacing w:after="0" w:line="240" w:lineRule="auto"/>
      </w:pPr>
      <w:r>
        <w:separator/>
      </w:r>
    </w:p>
  </w:endnote>
  <w:endnote w:type="continuationSeparator" w:id="0">
    <w:p w14:paraId="1E8188F5" w14:textId="77777777" w:rsidR="00FC3B8E" w:rsidRDefault="00FC3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FBA86" w14:textId="77777777" w:rsidR="00FC3B8E" w:rsidRDefault="00FC3B8E">
      <w:pPr>
        <w:spacing w:after="0" w:line="240" w:lineRule="auto"/>
      </w:pPr>
      <w:r>
        <w:separator/>
      </w:r>
    </w:p>
  </w:footnote>
  <w:footnote w:type="continuationSeparator" w:id="0">
    <w:p w14:paraId="4217FD7E" w14:textId="77777777" w:rsidR="00FC3B8E" w:rsidRDefault="00FC3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3B8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B8E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112971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2878</cp:revision>
  <dcterms:created xsi:type="dcterms:W3CDTF">2024-06-20T08:51:00Z</dcterms:created>
  <dcterms:modified xsi:type="dcterms:W3CDTF">2025-01-05T10:11:00Z</dcterms:modified>
  <cp:category/>
</cp:coreProperties>
</file>