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B755A3" w14:textId="77777777" w:rsidR="00432CB2" w:rsidRDefault="00432CB2" w:rsidP="00432CB2">
      <w:pPr>
        <w:pStyle w:val="afffffffffffffffffffffffffff5"/>
        <w:rPr>
          <w:rFonts w:ascii="Verdana" w:hAnsi="Verdana"/>
          <w:color w:val="000000"/>
          <w:sz w:val="21"/>
          <w:szCs w:val="21"/>
        </w:rPr>
      </w:pPr>
      <w:r>
        <w:rPr>
          <w:rFonts w:ascii="Helvetica" w:hAnsi="Helvetica" w:cs="Helvetica"/>
          <w:b/>
          <w:bCs w:val="0"/>
          <w:color w:val="222222"/>
          <w:sz w:val="21"/>
          <w:szCs w:val="21"/>
        </w:rPr>
        <w:t>Теряев, Олег Валерианович.</w:t>
      </w:r>
    </w:p>
    <w:p w14:paraId="175D3671" w14:textId="77777777" w:rsidR="00432CB2" w:rsidRDefault="00432CB2" w:rsidP="00432CB2">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Поляризационные процессы в квантовой </w:t>
      </w:r>
      <w:proofErr w:type="gramStart"/>
      <w:r>
        <w:rPr>
          <w:rFonts w:ascii="Helvetica" w:hAnsi="Helvetica" w:cs="Helvetica"/>
          <w:caps/>
          <w:color w:val="222222"/>
          <w:sz w:val="21"/>
          <w:szCs w:val="21"/>
        </w:rPr>
        <w:t>хромодинамике :</w:t>
      </w:r>
      <w:proofErr w:type="gramEnd"/>
      <w:r>
        <w:rPr>
          <w:rFonts w:ascii="Helvetica" w:hAnsi="Helvetica" w:cs="Helvetica"/>
          <w:caps/>
          <w:color w:val="222222"/>
          <w:sz w:val="21"/>
          <w:szCs w:val="21"/>
        </w:rPr>
        <w:t xml:space="preserve"> диссертация ... кандидата физико-математических наук : 01.04.02. - Дубна, 1984. - 126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6DFE59ED" w14:textId="77777777" w:rsidR="00432CB2" w:rsidRDefault="00432CB2" w:rsidP="00432CB2">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Теряев, Олег Валерианович</w:t>
      </w:r>
    </w:p>
    <w:p w14:paraId="51CCC0DF" w14:textId="77777777" w:rsidR="00432CB2" w:rsidRDefault="00432CB2" w:rsidP="00432CB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37101AE1" w14:textId="77777777" w:rsidR="00432CB2" w:rsidRDefault="00432CB2" w:rsidP="00432CB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ГЛАВА I. Поперечная поляризация и калибровочная </w:t>
      </w:r>
      <w:proofErr w:type="gramStart"/>
      <w:r>
        <w:rPr>
          <w:rFonts w:ascii="Arial" w:hAnsi="Arial" w:cs="Arial"/>
          <w:color w:val="333333"/>
          <w:sz w:val="21"/>
          <w:szCs w:val="21"/>
        </w:rPr>
        <w:t>инвариантность .</w:t>
      </w:r>
      <w:proofErr w:type="gramEnd"/>
      <w:r>
        <w:rPr>
          <w:rFonts w:ascii="Arial" w:hAnsi="Arial" w:cs="Arial"/>
          <w:color w:val="333333"/>
          <w:sz w:val="21"/>
          <w:szCs w:val="21"/>
        </w:rPr>
        <w:t xml:space="preserve"> II</w:t>
      </w:r>
    </w:p>
    <w:p w14:paraId="7FE40AD7" w14:textId="77777777" w:rsidR="00432CB2" w:rsidRDefault="00432CB2" w:rsidP="00432CB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1.1. Ковариантный анализ поперечной поляризации и ее общие свойства в упругих </w:t>
      </w:r>
      <w:proofErr w:type="gramStart"/>
      <w:r>
        <w:rPr>
          <w:rFonts w:ascii="Arial" w:hAnsi="Arial" w:cs="Arial"/>
          <w:color w:val="333333"/>
          <w:sz w:val="21"/>
          <w:szCs w:val="21"/>
        </w:rPr>
        <w:t>процессах .</w:t>
      </w:r>
      <w:proofErr w:type="gramEnd"/>
      <w:r>
        <w:rPr>
          <w:rFonts w:ascii="Arial" w:hAnsi="Arial" w:cs="Arial"/>
          <w:color w:val="333333"/>
          <w:sz w:val="21"/>
          <w:szCs w:val="21"/>
        </w:rPr>
        <w:t xml:space="preserve"> II</w:t>
      </w:r>
    </w:p>
    <w:p w14:paraId="6A80E9E4" w14:textId="77777777" w:rsidR="00432CB2" w:rsidRDefault="00432CB2" w:rsidP="00432CB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Калибровочная инвариантность и инфракрасная стабильность поперечной поляризации</w:t>
      </w:r>
    </w:p>
    <w:p w14:paraId="6E99BF8B" w14:textId="77777777" w:rsidR="00432CB2" w:rsidRDefault="00432CB2" w:rsidP="00432CB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Поперечная поляризация в кварк-</w:t>
      </w:r>
      <w:proofErr w:type="spellStart"/>
      <w:r>
        <w:rPr>
          <w:rFonts w:ascii="Arial" w:hAnsi="Arial" w:cs="Arial"/>
          <w:color w:val="333333"/>
          <w:sz w:val="21"/>
          <w:szCs w:val="21"/>
        </w:rPr>
        <w:t>кварковом</w:t>
      </w:r>
      <w:proofErr w:type="spellEnd"/>
      <w:r>
        <w:rPr>
          <w:rFonts w:ascii="Arial" w:hAnsi="Arial" w:cs="Arial"/>
          <w:color w:val="333333"/>
          <w:sz w:val="21"/>
          <w:szCs w:val="21"/>
        </w:rPr>
        <w:t xml:space="preserve"> рассеянии.</w:t>
      </w:r>
    </w:p>
    <w:p w14:paraId="1B563108" w14:textId="77777777" w:rsidR="00432CB2" w:rsidRDefault="00432CB2" w:rsidP="00432CB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Факторизация больших и малых расстояний, калибровочная инвариантность и массовый параметр.</w:t>
      </w:r>
    </w:p>
    <w:p w14:paraId="54A3CB5C" w14:textId="77777777" w:rsidR="00432CB2" w:rsidRDefault="00432CB2" w:rsidP="00432CB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ГЛАВА 2. </w:t>
      </w:r>
      <w:proofErr w:type="spellStart"/>
      <w:r>
        <w:rPr>
          <w:rFonts w:ascii="Arial" w:hAnsi="Arial" w:cs="Arial"/>
          <w:color w:val="333333"/>
          <w:sz w:val="21"/>
          <w:szCs w:val="21"/>
        </w:rPr>
        <w:t>Глюонная</w:t>
      </w:r>
      <w:proofErr w:type="spellEnd"/>
      <w:r>
        <w:rPr>
          <w:rFonts w:ascii="Arial" w:hAnsi="Arial" w:cs="Arial"/>
          <w:color w:val="333333"/>
          <w:sz w:val="21"/>
          <w:szCs w:val="21"/>
        </w:rPr>
        <w:t xml:space="preserve"> компонента волновой функции адрона и эффективная масса кварка.</w:t>
      </w:r>
    </w:p>
    <w:p w14:paraId="2ABD5EE4" w14:textId="77777777" w:rsidR="00432CB2" w:rsidRDefault="00432CB2" w:rsidP="00432CB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2.1. Переопределение массы кварка в скалярном </w:t>
      </w:r>
      <w:proofErr w:type="spellStart"/>
      <w:r>
        <w:rPr>
          <w:rFonts w:ascii="Arial" w:hAnsi="Arial" w:cs="Arial"/>
          <w:color w:val="333333"/>
          <w:sz w:val="21"/>
          <w:szCs w:val="21"/>
        </w:rPr>
        <w:t>глюонном</w:t>
      </w:r>
      <w:proofErr w:type="spellEnd"/>
      <w:r>
        <w:rPr>
          <w:rFonts w:ascii="Arial" w:hAnsi="Arial" w:cs="Arial"/>
          <w:color w:val="333333"/>
          <w:sz w:val="21"/>
          <w:szCs w:val="21"/>
        </w:rPr>
        <w:t xml:space="preserve"> поле</w:t>
      </w:r>
    </w:p>
    <w:p w14:paraId="3DEE1BD5" w14:textId="77777777" w:rsidR="00432CB2" w:rsidRDefault="00432CB2" w:rsidP="00432CB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Полный анализ матрицы плотности бариона в КХД.</w:t>
      </w:r>
    </w:p>
    <w:p w14:paraId="72AE8D66" w14:textId="77777777" w:rsidR="00432CB2" w:rsidRDefault="00432CB2" w:rsidP="00432CB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Правила сумм и Т-инвариантность.</w:t>
      </w:r>
    </w:p>
    <w:p w14:paraId="2D7365C9" w14:textId="77777777" w:rsidR="00432CB2" w:rsidRDefault="00432CB2" w:rsidP="00432CB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2.4. </w:t>
      </w:r>
      <w:proofErr w:type="spellStart"/>
      <w:r>
        <w:rPr>
          <w:rFonts w:ascii="Arial" w:hAnsi="Arial" w:cs="Arial"/>
          <w:color w:val="333333"/>
          <w:sz w:val="21"/>
          <w:szCs w:val="21"/>
        </w:rPr>
        <w:t>Глюонные</w:t>
      </w:r>
      <w:proofErr w:type="spellEnd"/>
      <w:r>
        <w:rPr>
          <w:rFonts w:ascii="Arial" w:hAnsi="Arial" w:cs="Arial"/>
          <w:color w:val="333333"/>
          <w:sz w:val="21"/>
          <w:szCs w:val="21"/>
        </w:rPr>
        <w:t xml:space="preserve"> эффекты в </w:t>
      </w:r>
      <w:proofErr w:type="spellStart"/>
      <w:r>
        <w:rPr>
          <w:rFonts w:ascii="Arial" w:hAnsi="Arial" w:cs="Arial"/>
          <w:color w:val="333333"/>
          <w:sz w:val="21"/>
          <w:szCs w:val="21"/>
        </w:rPr>
        <w:t>глубоконеупругом</w:t>
      </w:r>
      <w:proofErr w:type="spellEnd"/>
      <w:r>
        <w:rPr>
          <w:rFonts w:ascii="Arial" w:hAnsi="Arial" w:cs="Arial"/>
          <w:color w:val="333333"/>
          <w:sz w:val="21"/>
          <w:szCs w:val="21"/>
        </w:rPr>
        <w:t xml:space="preserve"> рассеянии.</w:t>
      </w:r>
    </w:p>
    <w:p w14:paraId="3F14A0DE" w14:textId="77777777" w:rsidR="00432CB2" w:rsidRDefault="00432CB2" w:rsidP="00432CB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2.5. Одиночные </w:t>
      </w:r>
      <w:proofErr w:type="spellStart"/>
      <w:r>
        <w:rPr>
          <w:rFonts w:ascii="Arial" w:hAnsi="Arial" w:cs="Arial"/>
          <w:color w:val="333333"/>
          <w:sz w:val="21"/>
          <w:szCs w:val="21"/>
        </w:rPr>
        <w:t>ассиметрии</w:t>
      </w:r>
      <w:proofErr w:type="spellEnd"/>
      <w:r>
        <w:rPr>
          <w:rFonts w:ascii="Arial" w:hAnsi="Arial" w:cs="Arial"/>
          <w:color w:val="333333"/>
          <w:sz w:val="21"/>
          <w:szCs w:val="21"/>
        </w:rPr>
        <w:t xml:space="preserve"> в КХД</w:t>
      </w:r>
    </w:p>
    <w:p w14:paraId="156C3E1E" w14:textId="77777777" w:rsidR="00432CB2" w:rsidRDefault="00432CB2" w:rsidP="00432CB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Тензорная поляризация векторных мезонов в высокоэнергетических процессах</w:t>
      </w:r>
    </w:p>
    <w:p w14:paraId="7497B3BA" w14:textId="77777777" w:rsidR="00432CB2" w:rsidRDefault="00432CB2" w:rsidP="00432CB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3.1. Кинематический анализ спиновой </w:t>
      </w:r>
      <w:proofErr w:type="spellStart"/>
      <w:r>
        <w:rPr>
          <w:rFonts w:ascii="Arial" w:hAnsi="Arial" w:cs="Arial"/>
          <w:color w:val="333333"/>
          <w:sz w:val="21"/>
          <w:szCs w:val="21"/>
        </w:rPr>
        <w:t>выстроенности</w:t>
      </w:r>
      <w:proofErr w:type="spellEnd"/>
      <w:r>
        <w:rPr>
          <w:rFonts w:ascii="Arial" w:hAnsi="Arial" w:cs="Arial"/>
          <w:color w:val="333333"/>
          <w:sz w:val="21"/>
          <w:szCs w:val="21"/>
        </w:rPr>
        <w:t xml:space="preserve"> в жестких процессах</w:t>
      </w:r>
    </w:p>
    <w:p w14:paraId="7AD6D490" w14:textId="77777777" w:rsidR="00432CB2" w:rsidRDefault="00432CB2" w:rsidP="00432CB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3.2. </w:t>
      </w:r>
      <w:proofErr w:type="spellStart"/>
      <w:r>
        <w:rPr>
          <w:rFonts w:ascii="Arial" w:hAnsi="Arial" w:cs="Arial"/>
          <w:color w:val="333333"/>
          <w:sz w:val="21"/>
          <w:szCs w:val="21"/>
        </w:rPr>
        <w:t>Выстроенность</w:t>
      </w:r>
      <w:proofErr w:type="spellEnd"/>
      <w:r>
        <w:rPr>
          <w:rFonts w:ascii="Arial" w:hAnsi="Arial" w:cs="Arial"/>
          <w:color w:val="333333"/>
          <w:sz w:val="21"/>
          <w:szCs w:val="21"/>
        </w:rPr>
        <w:t xml:space="preserve"> векторных мезонов в КХД</w:t>
      </w:r>
    </w:p>
    <w:p w14:paraId="1EA58B08" w14:textId="77777777" w:rsidR="00432CB2" w:rsidRDefault="00432CB2" w:rsidP="00432CB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3.3. </w:t>
      </w:r>
      <w:proofErr w:type="spellStart"/>
      <w:r>
        <w:rPr>
          <w:rFonts w:ascii="Arial" w:hAnsi="Arial" w:cs="Arial"/>
          <w:color w:val="333333"/>
          <w:sz w:val="21"/>
          <w:szCs w:val="21"/>
        </w:rPr>
        <w:t>Выстроенностъ</w:t>
      </w:r>
      <w:proofErr w:type="spellEnd"/>
      <w:r>
        <w:rPr>
          <w:rFonts w:ascii="Arial" w:hAnsi="Arial" w:cs="Arial"/>
          <w:color w:val="333333"/>
          <w:sz w:val="21"/>
          <w:szCs w:val="21"/>
        </w:rPr>
        <w:t xml:space="preserve"> векторного мезона в нерелятивистской </w:t>
      </w:r>
      <w:proofErr w:type="spellStart"/>
      <w:r>
        <w:rPr>
          <w:rFonts w:ascii="Arial" w:hAnsi="Arial" w:cs="Arial"/>
          <w:color w:val="333333"/>
          <w:sz w:val="21"/>
          <w:szCs w:val="21"/>
        </w:rPr>
        <w:t>кварковой</w:t>
      </w:r>
      <w:proofErr w:type="spellEnd"/>
      <w:r>
        <w:rPr>
          <w:rFonts w:ascii="Arial" w:hAnsi="Arial" w:cs="Arial"/>
          <w:color w:val="333333"/>
          <w:sz w:val="21"/>
          <w:szCs w:val="21"/>
        </w:rPr>
        <w:t xml:space="preserve"> модели</w:t>
      </w:r>
    </w:p>
    <w:p w14:paraId="4FD368FA" w14:textId="77777777" w:rsidR="00432CB2" w:rsidRDefault="00432CB2" w:rsidP="00432CB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3.4. Модель слияния и </w:t>
      </w:r>
      <w:proofErr w:type="spellStart"/>
      <w:r>
        <w:rPr>
          <w:rFonts w:ascii="Arial" w:hAnsi="Arial" w:cs="Arial"/>
          <w:color w:val="333333"/>
          <w:sz w:val="21"/>
          <w:szCs w:val="21"/>
        </w:rPr>
        <w:t>выстроенностъ</w:t>
      </w:r>
      <w:proofErr w:type="spellEnd"/>
      <w:r>
        <w:rPr>
          <w:rFonts w:ascii="Arial" w:hAnsi="Arial" w:cs="Arial"/>
          <w:color w:val="333333"/>
          <w:sz w:val="21"/>
          <w:szCs w:val="21"/>
        </w:rPr>
        <w:t xml:space="preserve"> в мягких процессах.</w:t>
      </w:r>
    </w:p>
    <w:p w14:paraId="69F09626" w14:textId="6D58A847" w:rsidR="005E23AC" w:rsidRPr="00432CB2" w:rsidRDefault="005E23AC" w:rsidP="00432CB2"/>
    <w:sectPr w:rsidR="005E23AC" w:rsidRPr="00432CB2"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988864" w14:textId="77777777" w:rsidR="0054046B" w:rsidRDefault="0054046B">
      <w:pPr>
        <w:spacing w:after="0" w:line="240" w:lineRule="auto"/>
      </w:pPr>
      <w:r>
        <w:separator/>
      </w:r>
    </w:p>
  </w:endnote>
  <w:endnote w:type="continuationSeparator" w:id="0">
    <w:p w14:paraId="04406E32" w14:textId="77777777" w:rsidR="0054046B" w:rsidRDefault="005404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7A6930" w14:textId="77777777" w:rsidR="0054046B" w:rsidRDefault="0054046B"/>
    <w:p w14:paraId="09222245" w14:textId="77777777" w:rsidR="0054046B" w:rsidRDefault="0054046B"/>
    <w:p w14:paraId="7D895DA5" w14:textId="77777777" w:rsidR="0054046B" w:rsidRDefault="0054046B"/>
    <w:p w14:paraId="19DA8612" w14:textId="77777777" w:rsidR="0054046B" w:rsidRDefault="0054046B"/>
    <w:p w14:paraId="6F560F38" w14:textId="77777777" w:rsidR="0054046B" w:rsidRDefault="0054046B"/>
    <w:p w14:paraId="5392B767" w14:textId="77777777" w:rsidR="0054046B" w:rsidRDefault="0054046B"/>
    <w:p w14:paraId="3E92BF2A" w14:textId="77777777" w:rsidR="0054046B" w:rsidRDefault="0054046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E37B78D" wp14:editId="1A89727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CCB997" w14:textId="77777777" w:rsidR="0054046B" w:rsidRDefault="0054046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E37B78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7CCB997" w14:textId="77777777" w:rsidR="0054046B" w:rsidRDefault="0054046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EBC7272" w14:textId="77777777" w:rsidR="0054046B" w:rsidRDefault="0054046B"/>
    <w:p w14:paraId="3E7F3E21" w14:textId="77777777" w:rsidR="0054046B" w:rsidRDefault="0054046B"/>
    <w:p w14:paraId="327F531A" w14:textId="77777777" w:rsidR="0054046B" w:rsidRDefault="0054046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5F91BB2" wp14:editId="60A834A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B87A01" w14:textId="77777777" w:rsidR="0054046B" w:rsidRDefault="0054046B"/>
                          <w:p w14:paraId="312D3309" w14:textId="77777777" w:rsidR="0054046B" w:rsidRDefault="0054046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5F91BB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5B87A01" w14:textId="77777777" w:rsidR="0054046B" w:rsidRDefault="0054046B"/>
                    <w:p w14:paraId="312D3309" w14:textId="77777777" w:rsidR="0054046B" w:rsidRDefault="0054046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9A3E17D" w14:textId="77777777" w:rsidR="0054046B" w:rsidRDefault="0054046B"/>
    <w:p w14:paraId="7F0E5877" w14:textId="77777777" w:rsidR="0054046B" w:rsidRDefault="0054046B">
      <w:pPr>
        <w:rPr>
          <w:sz w:val="2"/>
          <w:szCs w:val="2"/>
        </w:rPr>
      </w:pPr>
    </w:p>
    <w:p w14:paraId="6464C830" w14:textId="77777777" w:rsidR="0054046B" w:rsidRDefault="0054046B"/>
    <w:p w14:paraId="0960B621" w14:textId="77777777" w:rsidR="0054046B" w:rsidRDefault="0054046B">
      <w:pPr>
        <w:spacing w:after="0" w:line="240" w:lineRule="auto"/>
      </w:pPr>
    </w:p>
  </w:footnote>
  <w:footnote w:type="continuationSeparator" w:id="0">
    <w:p w14:paraId="24E5C00D" w14:textId="77777777" w:rsidR="0054046B" w:rsidRDefault="005404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97"/>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6B"/>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932"/>
    <w:rsid w:val="00CE49BF"/>
    <w:rsid w:val="00CE4A15"/>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150665</TotalTime>
  <Pages>2</Pages>
  <Words>195</Words>
  <Characters>1112</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1305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4298</cp:revision>
  <cp:lastPrinted>2009-02-06T05:36:00Z</cp:lastPrinted>
  <dcterms:created xsi:type="dcterms:W3CDTF">2024-01-07T13:43:00Z</dcterms:created>
  <dcterms:modified xsi:type="dcterms:W3CDTF">2025-08-22T02:28:00Z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