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625E"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Оглавление диссертациикандидат физико-математических наук Правдин, Михаил Иванович</w:t>
      </w:r>
    </w:p>
    <w:p w14:paraId="58CAAD21"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ВВЕДЕНИЕ.</w:t>
      </w:r>
    </w:p>
    <w:p w14:paraId="7260A3ED"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 ОПИСАНИЕ ЯКУТСКОЙ УСТАНОВКИ ШАЛ.</w:t>
      </w:r>
    </w:p>
    <w:p w14:paraId="007DAC3E"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1.1. Основные параметры установки.</w:t>
      </w:r>
    </w:p>
    <w:p w14:paraId="704584C9"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1.2. Детекторы,установленные на станциях наблюдения.</w:t>
      </w:r>
    </w:p>
    <w:p w14:paraId="3604110D"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1.3. Измерение амплитуды сигнала детекторов.</w:t>
      </w:r>
    </w:p>
    <w:p w14:paraId="550EF2AB"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1.4. Электроника Якутской установки.</w:t>
      </w:r>
    </w:p>
    <w:p w14:paraId="398066E2"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1.4.1. Электроника пунктов наблюдения типа I с воздушными линиями связи.</w:t>
      </w:r>
    </w:p>
    <w:p w14:paraId="0DF7C100"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1.4.2. Электроника станций типа П с кабельной связью.</w:t>
      </w:r>
    </w:p>
    <w:p w14:paraId="74B3C8C1"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1.4.3. Электроника центрального управляющего комплекса.</w:t>
      </w:r>
    </w:p>
    <w:p w14:paraId="30299750"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1.5. Калибровка сцинтилляционных детекторов установки.</w:t>
      </w:r>
    </w:p>
    <w:p w14:paraId="469EB400"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1.6. Контроль работы установки и аппаратурные ошибки измерений.</w:t>
      </w:r>
    </w:p>
    <w:p w14:paraId="516C38F8"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1.7. Флуктуации отклика сцинтилляционных детекторов.</w:t>
      </w:r>
    </w:p>
    <w:p w14:paraId="3FD25B2F"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 ОБРАБОТКА ЭКСПЕРИМЕНТАЛЬНЫХ ДАННЫХ.</w:t>
      </w:r>
    </w:p>
    <w:p w14:paraId="0400F2CB"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2.1. Отбор массива данных и создание банка на базе ЭВМ СМ-3.</w:t>
      </w:r>
    </w:p>
    <w:p w14:paraId="336F0B9F"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2.2. Определение индивидуальных параметров ливня.</w:t>
      </w:r>
    </w:p>
    <w:p w14:paraId="461D9D3E"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2.2.1. Определение направления прихода ливня.</w:t>
      </w:r>
    </w:p>
    <w:p w14:paraId="79261C20"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2.2.2. Определение положения оси и величины ливня.</w:t>
      </w:r>
    </w:p>
    <w:p w14:paraId="4611F834"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2.2.3. Функция пространственного распределения частиц в ливне.</w:t>
      </w:r>
    </w:p>
    <w:p w14:paraId="3A6BB10B"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2.3. Выбор классификационного параметра.</w:t>
      </w:r>
    </w:p>
    <w:p w14:paraId="5073B7C8"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2.4. Оценка точности определения координат оси и классификационного параметра по искусственным ливням.</w:t>
      </w:r>
    </w:p>
    <w:p w14:paraId="025E43C2"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 ФЕНОМЕНОЛОГИЧЕСКИЕ СПЕКТРЫ ШАЛ.</w:t>
      </w:r>
    </w:p>
    <w:p w14:paraId="755A239E"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3.1. Определение эффективности регистрации ливня.</w:t>
      </w:r>
    </w:p>
    <w:p w14:paraId="1E1562CF"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3.2. Расчет светосилы установки.</w:t>
      </w:r>
    </w:p>
    <w:p w14:paraId="357C53BA"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3.3. Вычисление интенсивности.</w:t>
      </w:r>
    </w:p>
    <w:p w14:paraId="7DA4C6B5"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3.4. Экспериментальные спектры по классификационному параметру JJ^qq^ ^ ) на разных атмосферных глубинах</w:t>
      </w:r>
    </w:p>
    <w:p w14:paraId="3567FA2D"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3.5. Экспериментальные спектры по классификационному параметру р 5qq( t ) на разных атмосферных глубинах.</w:t>
      </w:r>
    </w:p>
    <w:p w14:paraId="70F563E4"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3.6. Учет температуры и давления.</w:t>
      </w:r>
    </w:p>
    <w:p w14:paraId="11060FFA"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lastRenderedPageBreak/>
        <w:t>3.7. Объединенный спектр по /9600^ на глубине Ю20 г-см"".</w:t>
      </w:r>
    </w:p>
    <w:p w14:paraId="309F9DE6"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3.8. Моделирование процесса вычисления спектра по р5qq из данных Якутской установки.</w:t>
      </w:r>
    </w:p>
    <w:p w14:paraId="76793D3E"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4. энергетический спектр и сравнение с датами данными.</w:t>
      </w:r>
    </w:p>
    <w:p w14:paraId="242F78AC"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4.1. Определение энергии первичной частицы.</w:t>
      </w:r>
    </w:p>
    <w:p w14:paraId="4C352FC8"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4.2. Энергетический спектр.</w:t>
      </w:r>
    </w:p>
    <w:p w14:paraId="2F76E892"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4.2.1. Сравнение спектра по Eq с данными установки Хавера Парк.</w:t>
      </w:r>
    </w:p>
    <w:p w14:paraId="7FC4E581" w14:textId="77777777" w:rsidR="0058093D" w:rsidRPr="0058093D" w:rsidRDefault="0058093D" w:rsidP="0058093D">
      <w:pPr>
        <w:rPr>
          <w:rFonts w:ascii="Helvetica" w:eastAsia="Symbol" w:hAnsi="Helvetica" w:cs="Helvetica"/>
          <w:b/>
          <w:bCs/>
          <w:color w:val="222222"/>
          <w:kern w:val="0"/>
          <w:sz w:val="21"/>
          <w:szCs w:val="21"/>
          <w:lang w:eastAsia="ru-RU"/>
        </w:rPr>
      </w:pPr>
      <w:r w:rsidRPr="0058093D">
        <w:rPr>
          <w:rFonts w:ascii="Helvetica" w:eastAsia="Symbol" w:hAnsi="Helvetica" w:cs="Helvetica"/>
          <w:b/>
          <w:bCs/>
          <w:color w:val="222222"/>
          <w:kern w:val="0"/>
          <w:sz w:val="21"/>
          <w:szCs w:val="21"/>
          <w:lang w:eastAsia="ru-RU"/>
        </w:rPr>
        <w:t>4.3. Обсуждение результатов по энергетическое спектру. НО заюючение. литература.</w:t>
      </w:r>
    </w:p>
    <w:p w14:paraId="3869883D" w14:textId="6681AB18" w:rsidR="00F11235" w:rsidRPr="0058093D" w:rsidRDefault="00F11235" w:rsidP="0058093D"/>
    <w:sectPr w:rsidR="00F11235" w:rsidRPr="005809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31FC" w14:textId="77777777" w:rsidR="00CA457D" w:rsidRDefault="00CA457D">
      <w:pPr>
        <w:spacing w:after="0" w:line="240" w:lineRule="auto"/>
      </w:pPr>
      <w:r>
        <w:separator/>
      </w:r>
    </w:p>
  </w:endnote>
  <w:endnote w:type="continuationSeparator" w:id="0">
    <w:p w14:paraId="4733C319" w14:textId="77777777" w:rsidR="00CA457D" w:rsidRDefault="00CA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1428" w14:textId="77777777" w:rsidR="00CA457D" w:rsidRDefault="00CA457D"/>
    <w:p w14:paraId="639B2C1A" w14:textId="77777777" w:rsidR="00CA457D" w:rsidRDefault="00CA457D"/>
    <w:p w14:paraId="52F7DF06" w14:textId="77777777" w:rsidR="00CA457D" w:rsidRDefault="00CA457D"/>
    <w:p w14:paraId="0A33D382" w14:textId="77777777" w:rsidR="00CA457D" w:rsidRDefault="00CA457D"/>
    <w:p w14:paraId="0145CC0A" w14:textId="77777777" w:rsidR="00CA457D" w:rsidRDefault="00CA457D"/>
    <w:p w14:paraId="6DB15CBE" w14:textId="77777777" w:rsidR="00CA457D" w:rsidRDefault="00CA457D"/>
    <w:p w14:paraId="483FDF4F" w14:textId="77777777" w:rsidR="00CA457D" w:rsidRDefault="00CA45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663ED" wp14:editId="2EC425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2018" w14:textId="77777777" w:rsidR="00CA457D" w:rsidRDefault="00CA4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663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4F2018" w14:textId="77777777" w:rsidR="00CA457D" w:rsidRDefault="00CA45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66A97F" w14:textId="77777777" w:rsidR="00CA457D" w:rsidRDefault="00CA457D"/>
    <w:p w14:paraId="5E815822" w14:textId="77777777" w:rsidR="00CA457D" w:rsidRDefault="00CA457D"/>
    <w:p w14:paraId="231EF8E1" w14:textId="77777777" w:rsidR="00CA457D" w:rsidRDefault="00CA45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FBEB9" wp14:editId="63A498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41B1" w14:textId="77777777" w:rsidR="00CA457D" w:rsidRDefault="00CA457D"/>
                          <w:p w14:paraId="1D3F029D" w14:textId="77777777" w:rsidR="00CA457D" w:rsidRDefault="00CA4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FBE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2241B1" w14:textId="77777777" w:rsidR="00CA457D" w:rsidRDefault="00CA457D"/>
                    <w:p w14:paraId="1D3F029D" w14:textId="77777777" w:rsidR="00CA457D" w:rsidRDefault="00CA45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E921F" w14:textId="77777777" w:rsidR="00CA457D" w:rsidRDefault="00CA457D"/>
    <w:p w14:paraId="5978ACEA" w14:textId="77777777" w:rsidR="00CA457D" w:rsidRDefault="00CA457D">
      <w:pPr>
        <w:rPr>
          <w:sz w:val="2"/>
          <w:szCs w:val="2"/>
        </w:rPr>
      </w:pPr>
    </w:p>
    <w:p w14:paraId="058E7E61" w14:textId="77777777" w:rsidR="00CA457D" w:rsidRDefault="00CA457D"/>
    <w:p w14:paraId="4692FBE5" w14:textId="77777777" w:rsidR="00CA457D" w:rsidRDefault="00CA457D">
      <w:pPr>
        <w:spacing w:after="0" w:line="240" w:lineRule="auto"/>
      </w:pPr>
    </w:p>
  </w:footnote>
  <w:footnote w:type="continuationSeparator" w:id="0">
    <w:p w14:paraId="7F15AE0F" w14:textId="77777777" w:rsidR="00CA457D" w:rsidRDefault="00CA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7D"/>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166454</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5165</cp:revision>
  <cp:lastPrinted>2009-02-06T05:36:00Z</cp:lastPrinted>
  <dcterms:created xsi:type="dcterms:W3CDTF">2024-01-07T13:43:00Z</dcterms:created>
  <dcterms:modified xsi:type="dcterms:W3CDTF">2025-09-17T17:11:00Z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