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1E6F0" w14:textId="70ECCB14" w:rsidR="008B276B" w:rsidRDefault="00B8287F" w:rsidP="00B8287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Краевский Арсений Александрович. Чистое учение о праве Ганса Кельзена и современный юридический позитивизм</w:t>
      </w:r>
      <w:bookmarkEnd w:id="0"/>
      <w:r>
        <w:rPr>
          <w:rFonts w:ascii="Verdana" w:hAnsi="Verdana"/>
          <w:color w:val="000000"/>
          <w:sz w:val="18"/>
          <w:szCs w:val="18"/>
          <w:shd w:val="clear" w:color="auto" w:fill="FFFFFF"/>
        </w:rPr>
        <w:t>: диссертация ... кандидата юридических наук: 12.00.01 / Краевский Арсений Александрович;[Место защиты: Санкт-Петербургский государственный университет].- Санкт-Петербург, 2014.- 231 с.</w:t>
      </w:r>
    </w:p>
    <w:p w14:paraId="2CC011AF" w14:textId="77777777" w:rsidR="00B8287F" w:rsidRPr="00B8287F" w:rsidRDefault="00B8287F" w:rsidP="00B8287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8287F">
        <w:rPr>
          <w:rFonts w:ascii="Verdana" w:eastAsia="Times New Roman" w:hAnsi="Verdana" w:cs="Times New Roman"/>
          <w:b/>
          <w:bCs/>
          <w:color w:val="AC370B"/>
          <w:kern w:val="0"/>
          <w:sz w:val="23"/>
          <w:szCs w:val="23"/>
          <w:lang w:eastAsia="ru-RU"/>
        </w:rPr>
        <w:t>Содержание к диссертации</w:t>
      </w:r>
    </w:p>
    <w:p w14:paraId="5F733998"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Введение</w:t>
      </w:r>
    </w:p>
    <w:p w14:paraId="62755FF2"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8287F">
        <w:rPr>
          <w:rFonts w:ascii="Verdana" w:eastAsia="Times New Roman" w:hAnsi="Verdana" w:cs="Times New Roman"/>
          <w:b/>
          <w:bCs/>
          <w:color w:val="000000"/>
          <w:kern w:val="0"/>
          <w:sz w:val="18"/>
          <w:szCs w:val="18"/>
          <w:lang w:eastAsia="ru-RU"/>
        </w:rPr>
        <w:t>Глава 1. Юридический позитивизм: понятие и история формирования 14</w:t>
      </w:r>
    </w:p>
    <w:p w14:paraId="4BEEBE0D"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 Признаки юридического позитивизма 14</w:t>
      </w:r>
    </w:p>
    <w:p w14:paraId="20FDCB39"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 История формирования юридического позитивизма 25</w:t>
      </w:r>
    </w:p>
    <w:p w14:paraId="4369FCA9"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8287F">
        <w:rPr>
          <w:rFonts w:ascii="Verdana" w:eastAsia="Times New Roman" w:hAnsi="Verdana" w:cs="Times New Roman"/>
          <w:b/>
          <w:bCs/>
          <w:color w:val="000000"/>
          <w:kern w:val="0"/>
          <w:sz w:val="18"/>
          <w:szCs w:val="18"/>
          <w:lang w:eastAsia="ru-RU"/>
        </w:rPr>
        <w:t>Глава 2. Ганс Кельзен и школа чистого учения о праве 44</w:t>
      </w:r>
    </w:p>
    <w:p w14:paraId="540EA6A7"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 Источники чистого учения о праве 44</w:t>
      </w:r>
    </w:p>
    <w:p w14:paraId="511C248A"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1.1. Философские источники 44</w:t>
      </w:r>
    </w:p>
    <w:p w14:paraId="3FB2B419"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1.1.1. И. Кант и неокантианство 44</w:t>
      </w:r>
    </w:p>
    <w:p w14:paraId="45B4077C"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1.1.2 . Философия Э. Гуссерля 53</w:t>
      </w:r>
    </w:p>
    <w:p w14:paraId="2690092C"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1.1.3. Неопозитивизм 56</w:t>
      </w:r>
    </w:p>
    <w:p w14:paraId="7EBCB0C0"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1.2. Источники в правоведении 60</w:t>
      </w:r>
    </w:p>
    <w:p w14:paraId="27D5B8CD"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1.2.1. Немецкое государствоведение 60</w:t>
      </w:r>
    </w:p>
    <w:p w14:paraId="4D1F5E79"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1.2.2. Р. фон Иеринг 62</w:t>
      </w:r>
    </w:p>
    <w:p w14:paraId="4778252B"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 Школа чистого учения о праве: общая характеристика идей 64</w:t>
      </w:r>
    </w:p>
    <w:p w14:paraId="6736BAF6"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 Влияние чистого учения о праве</w:t>
      </w:r>
    </w:p>
    <w:p w14:paraId="39AF4F20"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на теорию и философию права XX века 70</w:t>
      </w:r>
    </w:p>
    <w:p w14:paraId="157B5DB6"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 Основные тенденции развития юридического позитивизма после чистого учения о праве 83</w:t>
      </w:r>
    </w:p>
    <w:p w14:paraId="38C6D5DA"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4.1. Концепция А. Росса 84</w:t>
      </w:r>
    </w:p>
    <w:p w14:paraId="3F06D1A7"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4.2. Оксфордская школа философии права 89</w:t>
      </w:r>
    </w:p>
    <w:p w14:paraId="03A5DC1F"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4.2.1. Правовая концепция Г. Харта 89</w:t>
      </w:r>
    </w:p>
    <w:p w14:paraId="0CFA4CAF"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4.2.2. Концепция Г. Харта и чистое учение о праве 92</w:t>
      </w:r>
    </w:p>
    <w:p w14:paraId="795C8A9F"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4.2.3. Правовая концепция Дж. Раза 96</w:t>
      </w:r>
    </w:p>
    <w:p w14:paraId="6E3EE6AD"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4.3. Институциональный юридический позитивизм 97</w:t>
      </w:r>
    </w:p>
    <w:p w14:paraId="7E2470DB"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4.4. Правовая концепция Е. В. Булыгина и К. Э. Альчуррона 100</w:t>
      </w:r>
    </w:p>
    <w:p w14:paraId="570A850F"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lastRenderedPageBreak/>
        <w:t>4.5. Эксклюзивный и инклюзивный юридический позитивизм 101</w:t>
      </w:r>
    </w:p>
    <w:p w14:paraId="499F61E5"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8287F">
        <w:rPr>
          <w:rFonts w:ascii="Verdana" w:eastAsia="Times New Roman" w:hAnsi="Verdana" w:cs="Times New Roman"/>
          <w:b/>
          <w:bCs/>
          <w:color w:val="000000"/>
          <w:kern w:val="0"/>
          <w:sz w:val="18"/>
          <w:szCs w:val="18"/>
          <w:lang w:eastAsia="ru-RU"/>
        </w:rPr>
        <w:t>Глава 3. Понятие права в юридическом позитивизме XX века 106</w:t>
      </w:r>
    </w:p>
    <w:p w14:paraId="027B790B"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 Признаки понятия права 105</w:t>
      </w:r>
    </w:p>
    <w:p w14:paraId="55DF4F38"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 Право и мораль 116</w:t>
      </w:r>
    </w:p>
    <w:p w14:paraId="72EF0856"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 Право и государство 122</w:t>
      </w:r>
    </w:p>
    <w:p w14:paraId="571FB8C9"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3.1. Право и государство в чистом учении о праве 122</w:t>
      </w:r>
    </w:p>
    <w:p w14:paraId="7700E66F"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3.2. Право и государство в позитивистских концепциях второй половины XX века 127</w:t>
      </w:r>
    </w:p>
    <w:p w14:paraId="78953458"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8287F">
        <w:rPr>
          <w:rFonts w:ascii="Verdana" w:eastAsia="Times New Roman" w:hAnsi="Verdana" w:cs="Times New Roman"/>
          <w:b/>
          <w:bCs/>
          <w:color w:val="000000"/>
          <w:kern w:val="0"/>
          <w:sz w:val="18"/>
          <w:szCs w:val="18"/>
          <w:lang w:eastAsia="ru-RU"/>
        </w:rPr>
        <w:t>Глава 4. Общая теория норм в юридическом позитивизме XX века 134</w:t>
      </w:r>
    </w:p>
    <w:p w14:paraId="0F061646"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 Понятие правовой нормы 134</w:t>
      </w:r>
    </w:p>
    <w:p w14:paraId="77912A1B"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1.1. Логико-лингвистический аспект нормы 134</w:t>
      </w:r>
    </w:p>
    <w:p w14:paraId="1709543C"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1.1.1. Понятие нормы 134</w:t>
      </w:r>
    </w:p>
    <w:p w14:paraId="5BF1302D"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Понятие нормы у Г. Кельзена 134</w:t>
      </w:r>
    </w:p>
    <w:p w14:paraId="4ED218E5"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Понятие нормы у А. Росса и Г. Харта 137</w:t>
      </w:r>
    </w:p>
    <w:p w14:paraId="6D11EE44"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Понятие нормы в институциональном</w:t>
      </w:r>
    </w:p>
    <w:p w14:paraId="63EEA82D"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юридическом позитивизме 138</w:t>
      </w:r>
    </w:p>
    <w:p w14:paraId="55B6C1C1"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1.1.2. Применимость логических принципов к нормам 140</w:t>
      </w:r>
    </w:p>
    <w:p w14:paraId="5F33E92B"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1.2. Социально-психологический аспект нормы 145</w:t>
      </w:r>
    </w:p>
    <w:p w14:paraId="65851194"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1.2.1. Концепция Г. Кельзена 145</w:t>
      </w:r>
    </w:p>
    <w:p w14:paraId="3D003761"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1.2.2. Концепции А. Росса, Г. Харта и институционального юридического позитивизма 150</w:t>
      </w:r>
    </w:p>
    <w:p w14:paraId="4C594B32"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 Классификация норм 152</w:t>
      </w:r>
    </w:p>
    <w:p w14:paraId="18A69788"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2.1. Подходы к классификации норм 152</w:t>
      </w:r>
    </w:p>
    <w:p w14:paraId="4A0FF221"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2.1.1. Классификация норм у Г. Кельзена 152</w:t>
      </w:r>
    </w:p>
    <w:p w14:paraId="60C8BEE4"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2.1.2. Классификация норм у А. Росса 154</w:t>
      </w:r>
    </w:p>
    <w:p w14:paraId="1050280B"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2.1.3. Классификация норм у Г. Харта и Дж. Раза 156</w:t>
      </w:r>
    </w:p>
    <w:p w14:paraId="6E1CE118"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2.1.4. Классификация норм в институциональном юридическом позитивизме 157</w:t>
      </w:r>
    </w:p>
    <w:p w14:paraId="64F45146"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2.2. Проблема разрешающих норм 158</w:t>
      </w:r>
    </w:p>
    <w:p w14:paraId="0BDED881"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2.3. Проблема уполномочивающих норм 160</w:t>
      </w:r>
    </w:p>
    <w:p w14:paraId="7F2479D1"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2.4. Проблема дерогационных норм 163</w:t>
      </w:r>
    </w:p>
    <w:p w14:paraId="35624688"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lastRenderedPageBreak/>
        <w:t>2.5. Самостоятельные и несамостоятельные нормы 167</w:t>
      </w:r>
    </w:p>
    <w:p w14:paraId="16388FC6"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 Система норм 173</w:t>
      </w:r>
    </w:p>
    <w:p w14:paraId="12F05388"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3.1. Структура системы норм 173</w:t>
      </w:r>
    </w:p>
    <w:p w14:paraId="28C14F84"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3.2. Основание системы норм 182</w:t>
      </w:r>
    </w:p>
    <w:p w14:paraId="1B143CE5"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3.3. Конфликт норм 193</w:t>
      </w:r>
    </w:p>
    <w:p w14:paraId="7270CAAC"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4. Познание и интерпретация права 199</w:t>
      </w:r>
    </w:p>
    <w:p w14:paraId="6C1C0C23"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Заключение 207</w:t>
      </w:r>
    </w:p>
    <w:p w14:paraId="0B0A8B09" w14:textId="77777777" w:rsidR="00B8287F" w:rsidRPr="00B8287F" w:rsidRDefault="00B8287F" w:rsidP="00B828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287F">
        <w:rPr>
          <w:rFonts w:ascii="Verdana" w:eastAsia="Times New Roman" w:hAnsi="Verdana" w:cs="Times New Roman"/>
          <w:color w:val="000000"/>
          <w:kern w:val="0"/>
          <w:sz w:val="18"/>
          <w:szCs w:val="18"/>
          <w:lang w:eastAsia="ru-RU"/>
        </w:rPr>
        <w:t>Библиографический список 210</w:t>
      </w:r>
    </w:p>
    <w:p w14:paraId="6D5CDF96" w14:textId="77777777" w:rsidR="00B8287F" w:rsidRDefault="00B8287F" w:rsidP="00B8287F">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Философия Э. Гуссерля</w:t>
      </w:r>
    </w:p>
    <w:p w14:paraId="1EFA68CB"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Ученик Г. Харта, британско-израильский философ права Джозеф Раз даёт следующее определение. Юридический позитивизм выражается тремя тезисами: социальным тезисом, моральным тезисом и семантическим тезисом. Социальный тезис (далее – Р1.1) состоит в том, что то, что является правом и что им не является – это вопрос социального факта (то есть многообразие социальных тезисов, поддерживаемых позитивистами, это многообразные улучшения и уточнения этой грубой формулировки). Их моральный тезис (далее – Р1.2) состоит в том, что моральная ценность права (как отдельного закона, так и правовой системы в целом) или моральные достоинства, которые оно имеет, случайны и зависят от содержания права и условий того общества, в котором оно применяется. Из общих для юридического позитивизма только семантический тезис (далее – Р1.3) является негативным, а именно: термины, такие как «права» и «обязанности» не могут использоваться в одном и том же смысле в юридических и моральных контекстах. 14</w:t>
      </w:r>
    </w:p>
    <w:p w14:paraId="0792EB6C"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данному термину [юридический позитивизм] ставится задача служить противовесом естественно-правовой философии, то он должен стать не некоей особой доктриной, а широкой мировоззренческой установкой в вопросах философии и теории права... С учетом того, как термин «позитивизм» используется в общей философии, мне кажется разумным использовать термин «правовой позитивизм» в широком смысле — как научную установку или подход к проблемам философии и теории права, основанные на принципах «Туманный термин «принципы эмпиризма» может быть истолкован по-разному. Под такими принципами я понимаю те, которые ведут к двум фундаментальным тезисам, которые составляют для меня смысловое ядро правового позитивизма.</w:t>
      </w:r>
    </w:p>
    <w:p w14:paraId="2A5E4023"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Первый тезис состоит в том, что вера в естественное право является заблуждением — никакого естественного права не существует, все право позитивно» (далее – Рс2.1). «Вторым основополагающим тезисом правового позитивизма является доктрина, связанная с теорией или методологией правоведения. Этот тезис исходит из возможности установить существование и описать содержание права определенной страны в определенный период в чисто фактических, эмпирических терминах, основанных на наблюдении и истолковании социальных фактов (человеческого поведения и мысленных установок). А из этого, в частности, следует, что нет </w:t>
      </w:r>
      <w:r>
        <w:rPr>
          <w:rFonts w:ascii="Verdana" w:hAnsi="Verdana"/>
          <w:color w:val="000000"/>
          <w:sz w:val="18"/>
          <w:szCs w:val="18"/>
        </w:rPr>
        <w:lastRenderedPageBreak/>
        <w:t>никакой пользы в обращении к идеям или принципам, взятым из естественного права или естественной нравственности» 16 (далее – Рс2.2).</w:t>
      </w:r>
    </w:p>
    <w:p w14:paraId="7CCF5780"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Определения, предлагаемые основоположником либертарно-юридической теории права В. С. Нерсесянцем существенно отличаются от всех вышеуказанных определений.</w:t>
      </w:r>
    </w:p>
    <w:p w14:paraId="395CD312"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легистскому подходу, под правом имеется в виду продукт государства (его власти, воли, усмотрения, произвола): право – приказ (принудительное установление, правило, норма, акт) официальной (государственной) власти, и только это есть право (далее – Н1).17 Здесь право сводится к принудительно-властным установлениям, к формальным источникам так называемого позитивного права (законам, указам, постановлениям, обычному праву, судебному прецеденту и т.д.), т.е. к закону (в собирательном смысле) – к тому, что официально наделено в данное время и в данном месте законной (властно-принудительной) силой (далее – Н2).18</w:t>
      </w:r>
    </w:p>
    <w:p w14:paraId="391A1FE6"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определением В. Д. Зорькина, позитивистское направление буржуазной юриспруденции включает в себя все доктрины, ориентирующиеся на философию позитивизма и позитивистскую социологию (далее – З1).19</w:t>
      </w:r>
    </w:p>
    <w:p w14:paraId="3A468389"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Ганс Кельзен приводит два характеристики юридического позитивизма, содержащие указания на их существенные признаки.</w:t>
      </w:r>
    </w:p>
    <w:p w14:paraId="3E30F576"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больше не предполагается вечной и абсолютной категорией; его содержание признаётся исторически изменчивым, а само право, как позитивное право, признаётся явлением, обусловленным временными и пространственными факторами (далее – К1).20 9.2. В то время как юридический позитивизм отвергает какую-либо естественно-правовую спекуляцию, любую попытку познать «право само по себе», он ограничивает себя теорией позитивного права. Таким образом, позитивное право берётся исключительно как человеческий продукт, а естественный порядок никоим образом не рассматривается как необходимый для его оправдания (далее – К2).21</w:t>
      </w:r>
    </w:p>
    <w:p w14:paraId="77458FC6"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основании указанных определений можно сделать вывод, что юридический позитивизм (как научный термин) является так называемым понятием, основанном на «семейном сходстве» в смысле Л. Витгенштейна,22 то есть не представляет собой логически единого понятия. Такое положение дел нормально, если ставится вопрос о семантическом тождестве слова разговорного языка,23 но его нельзя считать удовлетворительным, когда предметом рассмотрения становится научная терминология. Поэтому на основании приведённых определений мы попробуем эксплицировать понятие юридического позитивизма, то есть заменить существующее понятие новым, близким к нему по смыслу, но логически ясным понятием. Анализ определений юридического позитивизма позволяет выделить одиннадцать тезисов, которые рассматриваются различными авторами как существенные для юридического позитивизма и различными комбинациями которых являются приведённые определения: семантический тезис (Р1.3): термины, такие как «права» и «обязанности», не могут использоваться в одном и том же смысле в юридических и моральных контекстах (далее – Т10); тезис логического разделения бытия и долженствования, известный также как принцип Юма (ф.В2): Долженствование логически невыводимо из бытия и наоборот (далее – Т11). Необходимо отметить, что некоторые из приведённых тезисов составляют группы, в которых </w:t>
      </w:r>
      <w:r>
        <w:rPr>
          <w:rFonts w:ascii="Verdana" w:hAnsi="Verdana"/>
          <w:color w:val="000000"/>
          <w:sz w:val="18"/>
          <w:szCs w:val="18"/>
        </w:rPr>
        <w:lastRenderedPageBreak/>
        <w:t>тезисы можно расположить по логической силе.24 Такие группы составляют пары тезисов Т1 и Т2, Т6 и Т7, Т8 и Т9, а также три тезиса Т3, Т4 и Т5.</w:t>
      </w:r>
    </w:p>
    <w:p w14:paraId="42A98BF3" w14:textId="77777777" w:rsidR="00B8287F" w:rsidRDefault="00B8287F" w:rsidP="00B828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Концепция Г. Харта и чистое учение о праве</w:t>
      </w:r>
    </w:p>
    <w:p w14:paraId="7D6ACE34"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Чистое учение о праве, несмотря на свою оригинальность и направленность на преобразование юридической науки, является продолжением вполне определённых философских и юридических идей и тенденций, и в этом смысле является органичным продолжением философии права Нового Времени. Ведущим и даже доминирующим философским направлением первой четверти ХХ века, когда формировалось чистое учение о праве, было неокантианство, важнейшими школами которого были Марбургская (Г. Коген, П. Наторп, Э. Кассирер) и Баденская (В. Виндельбанд, Г. Риккерт). Вместе с тем, именно на этот период приходится появление двух философских направлений, позднее пришедших ему на смену – неопозитивизма (Л. Витгенштейн, Б. Рассел, Венский кружок, Берлинское общество научной философии) и феноменологии (Э. Гуссерль). Неудивительно, что работы представителей именно этих трёх философских направлений оказали наибольшее влияние на чистое учение о праве.</w:t>
      </w:r>
    </w:p>
    <w:p w14:paraId="0575946F"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Философская система Иммануила Канта (1724-1804) основывается на исследовании применения высших способностей души, к которым он относит рассудок, разум и способность суждения. Рассудок применяется к природе (его априорный принцип — закономерность), способность суждения применяется к искусству (её априорный принцип — целесообразность), а разум применяется к свободе (его априорный принцип — конечная цель).126 Традиционное деление философии на теоретическую (которой соответствует рассудок) и практическую (которой соответствует разум) преодолевается путём введения понятия целесообразности, соответствующего способности суждения.127 Основные идеи кантовской философии изложены им в трёх «Критиках» - «Критике чистого разума», посвящённой проблеме соотношения возможностей и сферы применимости разума и рассудка, «Критике практического разума», посвящённой практической философии и законодательствующему практическому разуму128 и «Критике способности суждения». Споры о взаимном соотношении трёх основных частей его философской системы, в том числе вопрос о том, какая из них имеет наибольшую значимость, начались ещё при жизни Канта и стали одной из причин многообразия интерпретаций его философии,129 в том числе в области философии права.</w:t>
      </w:r>
    </w:p>
    <w:p w14:paraId="0ACC1D66"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 влияния философии И. Канта на чистое учение о праве можно считать общепризнанным. Вместе с тем, вопрос о характере и степени этого влияния является предметом многочисленных дискуссий. В научной литературе, посвящённой теории Кельзена, встречается точка зрения, в соответствии с которой кантианство чистого учения о праве ограничено исключительно заимствованием элементов теории познания Канта и не связано с его юридическим учением, из чего иногда делают вывод о том, что эта концепция «в действительности имеет с учением Канта лишь некоторые внешние совпадения, а по сути своей весьма и весьма далеки от него».130 Как мы продемонстрируем далее, эта точка зрения верна лишь отчасти.</w:t>
      </w:r>
    </w:p>
    <w:p w14:paraId="539098F0"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 Разделение сферы бытия и долженствования имеет основополагающее значение как для философской системы Канта, так и для философии права Кельзена. Впервые на него указал, однако, не Кант, а британский философ Давид Юм, который обратил внимание на логическую невыводимость суждений о должном из суждений о сущем.131 У Канта различие между бытием и долженствованием соответствует различию ноуменов и феноменов. Источником долженствования является исключительно человеческая воля,132 направляемая практическим разумом.133 Человеческая воля относится к ноуменальной сфере человеческой свободы.134 В то же время, между феноменальным (чувственным) и ноуменальным (сверхчувственным) мирами существует необозримая пропасть.135 Таким образом, Кант переводит различие бытия и долженствования, которое у Юма носит скорее логический характер, на онтологический136 уровень.137 Разделение бытия и долженствования было воспринято целым рядом неокантианских авторов. По мнению С. Полсона,138 из наиболее значимых неокантианцев, обращавшихся к проблеме противопоставления бытия и долженствования (В. Виндельбанд,139 Г. Риккерт,140 Э. Ласк,141 Г. Зиммель142</w:t>
      </w:r>
    </w:p>
    <w:p w14:paraId="6D480295"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Разделение бытия и долженствования всегда было важнейшим принципом чистого учения о праве, собственно, и определявшем его чистоту. Кельзен полагает, что это разделение непосредственно дано нашему сознанию, а потому не может быть вполне точно вербально определено.144 Существенное отличие позиции Кельзена от точки зрения Канта, однако, состоит в том, какова природа этого автономного мира должного.</w:t>
      </w:r>
    </w:p>
    <w:p w14:paraId="7E97EE55"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Б. Долженствование у Канта конструируется чистым практическим разумом, то есть разумом, способным определять волю.145 Применяя эту способность, Кант конструирует свою метафизику нравов, включающую учение о праве.146 Этому метафизическому (по сути — естественно-правовому) пути построения юридической теории в большей или меньшей степени до Кельзена следовали все кантианцы, как философы (например, Г. Коген), так и правоведы (например, Р. Штаммлер).147</w:t>
      </w:r>
    </w:p>
    <w:p w14:paraId="259F3BC6"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Кельзена, однако, этическое учение Канта оказалось неприемлемым. Историческая миссия критического идеализма Канта виделась ему в разрушении традиционной метафизики, и эта миссия не была доведена Кантом до конца: «Борьба, которую этот философский гений, поддержанный наукой, вёл против метафизики, принёсшая ему титул</w:t>
      </w:r>
    </w:p>
    <w:p w14:paraId="68C4EF5F" w14:textId="77777777" w:rsidR="00B8287F" w:rsidRDefault="00B8287F" w:rsidP="00B828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 и государство в чистом учении о праве</w:t>
      </w:r>
    </w:p>
    <w:p w14:paraId="6620048C"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Росс понимает норму как директиву,329 которая корреспондирует социальным фактам.330 По его мнению, невозможно дать понятию нормы полезное для социальных наук определение так, чтобы оно обозначало только определённое смысловое содержание или только совокупность определённых социальных фактов. В качестве директивы норма может соблюдаться, ощущаться обязательной, находится в логических отношениях с другими нормами, быть элементом системы норм. При этом она соответствует социальным фактам. Сказать, что норма существует, значит сказать, что эти факты существуют. То есть условием существования нормы является то, что в большинстве случаев модель поведения, представленная в директиве (sb), соблюдается членами общества.331 При этом соблюдение нормы членами общества должно ощущаться ими как </w:t>
      </w:r>
      <w:r>
        <w:rPr>
          <w:rFonts w:ascii="Verdana" w:hAnsi="Verdana"/>
          <w:color w:val="000000"/>
          <w:sz w:val="18"/>
          <w:szCs w:val="18"/>
        </w:rPr>
        <w:lastRenderedPageBreak/>
        <w:t>обязательное.332 Это сопровождается психологическим импульсом адресата (агента) нормы к определённому поведению. Для наблюдателя, который представляет себя на месте агента норм, этот импульс выражается в ожидании следования соответствующей модели поведения. Это ожидание носит не теоретический характер, а выражение одобрения или неодобрения, в зависимости от того, была ли удовлетворено требование нормы. А. Росс называет их переживаниями действительности. Именно ложная интерпретация этих переживаний, по мнению А. Росса, породила идею объективного качества действительности, доступного познанию.333</w:t>
      </w:r>
    </w:p>
    <w:p w14:paraId="755B646B"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Оксфордская школа философии права в её современном виде сложилась под определяющим влиянием философско-правовых идей Герберта Харта.334 Существенное влияние (как позитивное, так и негативное) на идеи этой научной школы (как на идеи Г. Л. А. Харта, так и непосредственно на идеи его учеников) оказала и теория Г. Кельзена. Наиболее характерны в этом отношении работы самого Г. Л. А. Харта и его ученика Джозефа Раза. Подробное исследование всех аспектов этого влияния выходит далеко за пределы объёма и темы данного исследования, поэтому мы остановимся на двух важных положениях, в которых влияние Г. Кельзена было существенным, причём как позитивным, так и негативным.</w:t>
      </w:r>
    </w:p>
    <w:p w14:paraId="4E285CD9"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концепция Герберта Харта оказала очень большое, фактически, определяющее влияние на англоязычную юриспруденцию второй половины XX века. Большая часть проблематики англоязычной философии права данного периода происходит от «Понятия права» Харта, а также его дискуссий с Л. Фуллером (о соотношении права и морали),335 П. Девлином (об уголовно-правовой политике и морали)336 и Р. Дворкиным (о толковании и значении юридических принципов).337 Концепции Харта и Кельзена нередко сравнивают, рассматривая их как разные варианты</w:t>
      </w:r>
    </w:p>
    <w:p w14:paraId="7D7ED3F5"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 Харт основывался на философии обыденного языка, получившей широкое признание в Великобритании начиная с 1930-х годов, но в наибольшей степени после Второй мировой войны. Философия обыденного языка представляет собой направление аналитической философии, которое стремится исследовать философские понятия и споры на основе анализа обыденного словоупотребления.339 Среди представителей этого направления для понимания теории Харта важны теоретически построения Л. Витгенштейна (в частности, теория «семейного сходства» понятий),340 и Ф. Вайсмана (теория открытой структуры языка),341 однако, как отмечает сам Харт, наибольшее влияние на него оказала концепция оксфордского философа Джона Остина.342 Самого Харта, как автора ряда работ, имеющих общефилософское значение,343 также относят к числу представителей этого философского направления.344</w:t>
      </w:r>
    </w:p>
    <w:p w14:paraId="05966A20"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права в концепции Харта основано на позиции юридического позитивизма, предполагающего разделение права и морали. В числе своих предшественников Харт называет И. Бентама, Дж. Остина, О. У. Холмса и Г. концептуальную зависимость права от государства, полагая, что государство не является первичным по отношению к праву346 и критикует теорию Остина о праве как совокупности приказов суверена за психологизм.347 Тем не менее, подход к определению права через принудительные нормы, предложенный Кельзеном, не был принят Хартом. По его мнению, такой подход приводит к искажению социальной функции права.348</w:t>
      </w:r>
    </w:p>
    <w:p w14:paraId="7671F483"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Решением Харта является определение права как единства первичных и вторичных правил.349 Под первичными правилами понимаются правила, непосредственно регулирующие поведение людей («касаются действий, состоящих в физических движениях или изменениях»). Под вторичными правилами понимаются «правила о правилах», позволяющие «совершать действия, которые не только приводят к физическим движениям или изменениям, но и к созданию или модификации обязанностей или обязательств».350 В определённом смысле эта классификация соответствует принятой в логике иерархии типов (в смысле теории типов Б. Рассела)351 или иерархии метаязыков (в смысле семантической теории истины А. Тарского).352 Аналогичную классификацию использовал известный финский логик Г. Х. фон Вригт при построении своей логики норм.353 Однако теория Г. Л. А. Харта не предполагает построение какой-либо более сложной иерархии. Г. Л. А. Харт не упоминает правил третьего уровня (правил о</w:t>
      </w:r>
    </w:p>
    <w:p w14:paraId="0CBE29D9"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иллюстрации значения разделения правил на первичные и вторичные Г. Л. А. Харт использует модель развития общества, в котором первоначально присутствуют только первичные правила. Эти правила не составляют систему, и отсутствует чёткий критерий для определения содержания правила в спорном случае (дефект неопределённости).356 Не существует механизма сознательного приспособления правил к потребностям общества (дефект статичности).357 Применение наказания за нарушение правила и другие формы социального давления не организованы (дефект неэффективности).358 Вторичные правила, добавленные к первичным, исправляют эти дефекты. Соответственно, дефект неопределённости устраняется правилом признания,359 дефект статичности — правилами изменения, а дефект неэффективности — правилами суда.360</w:t>
      </w:r>
    </w:p>
    <w:p w14:paraId="76581ECE" w14:textId="77777777" w:rsidR="00B8287F" w:rsidRDefault="00B8287F" w:rsidP="00B828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Социально-психологический аспект нормы</w:t>
      </w:r>
    </w:p>
    <w:p w14:paraId="2DA2AEC9"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Отдающий команду ожидает от адресата команды понимания команды, то есть того, что он должен вести себя определённым образом (смысл акта воли), и того, как он должен себя вести (содержание акта воли).</w:t>
      </w:r>
    </w:p>
    <w:p w14:paraId="551828DD"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решения проблемы соотношения смысла и содержания акта воли, взаимосвязи норм и суждений Г. Кельзен использует семантическую теорию, разработанную немецким логиком Г. Фреге. Пытаясь построить искусственный язык для анализа математики, Фреге ввёл различение суждения и содержания. Второе представляет собой «простую связь представлений, о которой пишущий не сообщает, признаёт он её истинной или нет».520 Как указывает Г. Кельзен, бытие и долженствование являются чисто формальными понятиями, совершенно различными модусами. В высказываниях о том, что нечто есть или нечто должно быть, необходимо различать два разных компонента: что нечто есть и то, что есть, что нечто должно быть и то, что должно быть. «То, что есть» и «то, что должно быть», содержание бытия и содержание долженствования представляет собой модально индифферентный субстрат. В предложении «А платит карточные долги», модально индифферентный субстрат «оплаты карточных долгов со стороны А» относится к модусу бытия, а в предложении «А должен платить карточные долги» он относится к модусу долженствования.</w:t>
      </w:r>
    </w:p>
    <w:p w14:paraId="1AE489F1"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Модально индифферентный субстрат не может быть истинным либо ложным, подобно суждению (модус бытия) или действительным либо недействительным, подобно норме (модус долженствования), таким образом, принципы логики к нему не применимы.521</w:t>
      </w:r>
    </w:p>
    <w:p w14:paraId="4C8CAC5B"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Используя различение суждения, нормы и модально индифферентного субстрата, Г. Кельзен также эксплицирует понятие ценности. Согласно этой экспликации, ценность состоит в тождестве модально индифферентных субстратов суждения и нормы.522</w:t>
      </w:r>
    </w:p>
    <w:p w14:paraId="4BBCF5AD"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нормы у А. Росса и Г. Харта А. Росс понимает норму как директиву,523 которая корреспондирует социальным фактам.524 По его мнению, невозможно дать понятию нормы полезное для социальных наук определение так, чтобы оно обозначало только определённое смысловое содержание или только совокупность определённых социальных фактов. В качестве директивы норма может соблюдаться, ощущаться обязательной, находится в логических отношениях с другими нормами, быть элементом системы норм. При этом она соответствует социальным фактам. Сказать, что норма существует, значит сказать, что эти факты существуют. То есть условием существования нормы является то, что в большинстве случаев модель поведения, представленная в директиве (sb), соблюдается членами общества.525 При этом соблюдение нормы членами общества должно ощущаться ими как обязательное.526</w:t>
      </w:r>
    </w:p>
    <w:p w14:paraId="2B29C6CA"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нормы у Г. Л. А. Харта близко к концепции А. Росса. Харт определяет правила следующим образом: «правила мыслятся и описываются как предписания, налагающие обязанности в том случае, когда существует настоятельное общее требование им соответствовать, подкрепленное значительным давлением со стороны социума против тех, кто не соблюдает их или пытается это сделать».527 Таким образом, как и Росс, Харт характеризует правила как соединение идеи обязанности и определённого, корреспондирующего ему поведения. Лингвистический аспект понятия нормы (правила) в концепции Г. Л. А. Харта связан с его концепцией открытой структуры правовой нормы, которую мы рассмотрим ниже, в параграфе 4 настоящей главы.</w:t>
      </w:r>
    </w:p>
    <w:p w14:paraId="7CBBFE28"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нормы в институциональном юридическом позитивизме Институциональная теория права исходит из дуалистической природы нормы.528 Норма понимается как идеальный объект и как определённая социальная реальность.529 Норма не является материальным объектом, доступным для какого-либо наблюдения. Тем не менее, она определённо связана с человеческим поведением и оказывает на него влияние. Регулярности человеческого поведения соотносятся с генезисом норм. Но сделать вывод о существовании нормы на основании одного лишь наблюдения за поведением невозможно в принципе. Нормы являются мыслями в объективном смысле, выводимыми при помощи абстракции из сознания и, соответственно, доступными логическому анализу, который с необходимостью депсихологизирован. Логические выводы из норм действительны при условии действительности норм, выступающих посылками в таком умозаключении.530 Волюнтаристские качества реально существующих норм не означают невозможности абстрагирования от соответствующих волевых актов в процессе логического исследования. Более того, для существования нормы не является необходимым её прямое лингвистическое формулирование.531</w:t>
      </w:r>
    </w:p>
    <w:p w14:paraId="53124F5F" w14:textId="77777777" w:rsidR="00B8287F" w:rsidRDefault="00B8287F" w:rsidP="00B82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Логическая теория норм532 основывается на трёх основных постулатах. 1. Нормативные предложения отличаются от дескриптивных. Нельзя переформулировать нормативное предложение в дескриптивное (и наоборот) без изменения его смысла. 2. Правила логического вывода логики норм должны предполагать невозможность вывода нормативных предложений исключительно из дескриптивных посылок. 3. Правила логического вывода логики норм должны предполагать невозможность вывода дескриптивных предложений исключительно из нормативных посылок.533 Первичная функция норм состоит в предопределении, в мотивации агентов норм, координации различных типов поведения людей в обществе и образовании порядка в человеческих группах. В качестве вторичной функции, норма является стандартом оценки. Несомненно, в определённых ситуациях дескриптивное предложение может иметь такой же эффект руководства к действию, но то же самое дескриптивное предложение, в отличие от нормы, не будет иметь этого эффекта в других ситуациях.534 Идеальные сущности, к числу которых относятся нормы, могут иметь существование в определённом смысле. Существует две точки соприкосновения идеального и реального — акты, то есть материальные события с идеальным содержанием (психические акты, волевые акты, акты понимания и т.д.), и возможность осмысленно говорить о существовании идеальных объектов во времени</w:t>
      </w:r>
    </w:p>
    <w:p w14:paraId="4737A25F" w14:textId="77777777" w:rsidR="00B8287F" w:rsidRPr="00B8287F" w:rsidRDefault="00B8287F" w:rsidP="00B8287F"/>
    <w:sectPr w:rsidR="00B8287F" w:rsidRPr="00B8287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5C454" w14:textId="77777777" w:rsidR="004256D1" w:rsidRDefault="004256D1">
      <w:pPr>
        <w:spacing w:after="0" w:line="240" w:lineRule="auto"/>
      </w:pPr>
      <w:r>
        <w:separator/>
      </w:r>
    </w:p>
  </w:endnote>
  <w:endnote w:type="continuationSeparator" w:id="0">
    <w:p w14:paraId="26E57AF4" w14:textId="77777777" w:rsidR="004256D1" w:rsidRDefault="0042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10E1E" w14:textId="77777777" w:rsidR="004256D1" w:rsidRDefault="004256D1">
      <w:pPr>
        <w:spacing w:after="0" w:line="240" w:lineRule="auto"/>
      </w:pPr>
      <w:r>
        <w:separator/>
      </w:r>
    </w:p>
  </w:footnote>
  <w:footnote w:type="continuationSeparator" w:id="0">
    <w:p w14:paraId="4D7B7475" w14:textId="77777777" w:rsidR="004256D1" w:rsidRDefault="00425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3"/>
  </w:num>
  <w:num w:numId="8">
    <w:abstractNumId w:val="33"/>
    <w:lvlOverride w:ilvl="1">
      <w:startOverride w:val="5"/>
    </w:lvlOverride>
  </w:num>
  <w:num w:numId="9">
    <w:abstractNumId w:val="33"/>
    <w:lvlOverride w:ilvl="1">
      <w:startOverride w:val="12"/>
    </w:lvlOverride>
  </w:num>
  <w:num w:numId="10">
    <w:abstractNumId w:val="27"/>
  </w:num>
  <w:num w:numId="11">
    <w:abstractNumId w:val="37"/>
  </w:num>
  <w:num w:numId="12">
    <w:abstractNumId w:val="28"/>
  </w:num>
  <w:num w:numId="13">
    <w:abstractNumId w:val="36"/>
  </w:num>
  <w:num w:numId="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6D1"/>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32977</TotalTime>
  <Pages>10</Pages>
  <Words>3786</Words>
  <Characters>21584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6281</cp:revision>
  <cp:lastPrinted>2009-02-06T05:36:00Z</cp:lastPrinted>
  <dcterms:created xsi:type="dcterms:W3CDTF">2016-09-19T15:12:00Z</dcterms:created>
  <dcterms:modified xsi:type="dcterms:W3CDTF">2017-02-22T12:28:00Z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