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E23E" w14:textId="143D85DC" w:rsidR="007130D0" w:rsidRDefault="00D030C2" w:rsidP="00D030C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Лапкіна Інна Іванівна. Ефективність модифікованого способу лікування хворих з ускладненою формою короткозорості : Дис... канд. наук: 14.01.18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31A73C45" w14:textId="77777777" w:rsidR="00D030C2" w:rsidRPr="00D030C2" w:rsidRDefault="00D030C2" w:rsidP="00D03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0C2">
        <w:rPr>
          <w:rFonts w:ascii="Times New Roman" w:eastAsia="Times New Roman" w:hAnsi="Times New Roman" w:cs="Times New Roman"/>
          <w:color w:val="000000"/>
          <w:sz w:val="27"/>
          <w:szCs w:val="27"/>
        </w:rPr>
        <w:t>Лапкіна І.І. Ефективність модифікованого способу лікування хворих з ускладненою формою короткозорості. – Рукопис.</w:t>
      </w:r>
    </w:p>
    <w:p w14:paraId="77BFF509" w14:textId="77777777" w:rsidR="00D030C2" w:rsidRPr="00D030C2" w:rsidRDefault="00D030C2" w:rsidP="00D03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0C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медичних наук за спеціальністю 14.01.18 – офтальмологія. – Інститут очних хвороб і тканинної терапії ім. В.П. Філатова АМН України, Одеса, 2007.</w:t>
      </w:r>
    </w:p>
    <w:p w14:paraId="1A284F89" w14:textId="77777777" w:rsidR="00D030C2" w:rsidRPr="00D030C2" w:rsidRDefault="00D030C2" w:rsidP="00D03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30C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проблемі підвищення ефективності лікування хворих з ускладненою формою короткозорості. Запропоновано модифікований спосіб лікування захворювання, що полягає в комбінованому застосуванні озонотерапії та традиційного лікування. Вперше доведено, що запропонований спосіб лікування є патогенетично обґрунтованим. Вперше встановлено, що застосування даного способу лікування пацієнтів з ускладненою короткозорістю при різних стадіях хоріоретинальних змін поліпшує функціональний стан зорового аналізатора: підвищує гостроту зору; розширює межі сумарного поля зору; скорочує час реадаптації макули, що супроводжується поліпшенням кровонаповнення ока, підвищенням швидкості кровотечі; зниженням індексів мікроциркуляції, а також зниженням вільно-радикальних процесів за такими показниками, як карбоніловані білки, луги Шиффа, хемілюмінесценція; підвищенням активності ферментативних ендогенних антиоксидантів (глутатіонпероксидази, глутатіонредуктази, супероксиддисмутази). Тривалість досягнутого ефекту зберігається у 89% пацієнтів з початковою, 69% – з розвинутою та 46% пацієнтів з далекорозвинутою стадіями хоріоретинальних змін протягом 6 місяців.</w:t>
      </w:r>
    </w:p>
    <w:p w14:paraId="06B3D1B2" w14:textId="77777777" w:rsidR="00D030C2" w:rsidRPr="00D030C2" w:rsidRDefault="00D030C2" w:rsidP="00D030C2"/>
    <w:sectPr w:rsidR="00D030C2" w:rsidRPr="00D030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9B51" w14:textId="77777777" w:rsidR="00725335" w:rsidRDefault="00725335">
      <w:pPr>
        <w:spacing w:after="0" w:line="240" w:lineRule="auto"/>
      </w:pPr>
      <w:r>
        <w:separator/>
      </w:r>
    </w:p>
  </w:endnote>
  <w:endnote w:type="continuationSeparator" w:id="0">
    <w:p w14:paraId="2265A072" w14:textId="77777777" w:rsidR="00725335" w:rsidRDefault="0072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B314" w14:textId="77777777" w:rsidR="00725335" w:rsidRDefault="00725335">
      <w:pPr>
        <w:spacing w:after="0" w:line="240" w:lineRule="auto"/>
      </w:pPr>
      <w:r>
        <w:separator/>
      </w:r>
    </w:p>
  </w:footnote>
  <w:footnote w:type="continuationSeparator" w:id="0">
    <w:p w14:paraId="69FCCE9B" w14:textId="77777777" w:rsidR="00725335" w:rsidRDefault="0072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53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35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130604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6326</cp:revision>
  <dcterms:created xsi:type="dcterms:W3CDTF">2024-06-20T08:51:00Z</dcterms:created>
  <dcterms:modified xsi:type="dcterms:W3CDTF">2025-01-29T19:09:00Z</dcterms:modified>
  <cp:category/>
</cp:coreProperties>
</file>