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DFF18" w14:textId="4170EDF7" w:rsidR="00920746" w:rsidRDefault="00320D2B" w:rsidP="00320D2B">
      <w:pPr>
        <w:rPr>
          <w:lang w:val="ru-RU"/>
        </w:rPr>
      </w:pPr>
      <w:proofErr w:type="spellStart"/>
      <w:r w:rsidRPr="00320D2B">
        <w:rPr>
          <w:rFonts w:hint="eastAsia"/>
          <w:lang w:val="ru-RU"/>
        </w:rPr>
        <w:t>Дулов</w:t>
      </w:r>
      <w:proofErr w:type="spellEnd"/>
      <w:r w:rsidRPr="00320D2B">
        <w:rPr>
          <w:lang w:val="ru-RU"/>
        </w:rPr>
        <w:t xml:space="preserve">, </w:t>
      </w:r>
      <w:proofErr w:type="spellStart"/>
      <w:r w:rsidRPr="00320D2B">
        <w:rPr>
          <w:rFonts w:hint="eastAsia"/>
          <w:lang w:val="ru-RU"/>
        </w:rPr>
        <w:t>Андрей</w:t>
      </w:r>
      <w:proofErr w:type="spellEnd"/>
      <w:r w:rsidRPr="00320D2B">
        <w:rPr>
          <w:lang w:val="ru-RU"/>
        </w:rPr>
        <w:t xml:space="preserve"> </w:t>
      </w:r>
      <w:proofErr w:type="spellStart"/>
      <w:r w:rsidRPr="00320D2B">
        <w:rPr>
          <w:rFonts w:hint="eastAsia"/>
          <w:lang w:val="ru-RU"/>
        </w:rPr>
        <w:t>Анатольевич</w:t>
      </w:r>
      <w:proofErr w:type="spellEnd"/>
      <w:r>
        <w:rPr>
          <w:lang w:val="ru-RU"/>
        </w:rPr>
        <w:t xml:space="preserve"> </w:t>
      </w:r>
      <w:proofErr w:type="spellStart"/>
      <w:r w:rsidRPr="00320D2B">
        <w:rPr>
          <w:rFonts w:hint="eastAsia"/>
          <w:lang w:val="ru-RU"/>
        </w:rPr>
        <w:t>Заболевания</w:t>
      </w:r>
      <w:proofErr w:type="spellEnd"/>
      <w:r w:rsidRPr="00320D2B">
        <w:rPr>
          <w:lang w:val="ru-RU"/>
        </w:rPr>
        <w:t xml:space="preserve"> </w:t>
      </w:r>
      <w:proofErr w:type="spellStart"/>
      <w:r w:rsidRPr="00320D2B">
        <w:rPr>
          <w:rFonts w:hint="eastAsia"/>
          <w:lang w:val="ru-RU"/>
        </w:rPr>
        <w:t>мочеполовой</w:t>
      </w:r>
      <w:proofErr w:type="spellEnd"/>
      <w:r w:rsidRPr="00320D2B">
        <w:rPr>
          <w:lang w:val="ru-RU"/>
        </w:rPr>
        <w:t xml:space="preserve"> </w:t>
      </w:r>
      <w:proofErr w:type="spellStart"/>
      <w:r w:rsidRPr="00320D2B">
        <w:rPr>
          <w:rFonts w:hint="eastAsia"/>
          <w:lang w:val="ru-RU"/>
        </w:rPr>
        <w:t>системы</w:t>
      </w:r>
      <w:proofErr w:type="spellEnd"/>
      <w:r w:rsidRPr="00320D2B">
        <w:rPr>
          <w:lang w:val="ru-RU"/>
        </w:rPr>
        <w:t xml:space="preserve"> </w:t>
      </w:r>
      <w:r w:rsidRPr="00320D2B">
        <w:rPr>
          <w:rFonts w:hint="eastAsia"/>
          <w:lang w:val="ru-RU"/>
        </w:rPr>
        <w:t>и</w:t>
      </w:r>
      <w:r w:rsidRPr="00320D2B">
        <w:rPr>
          <w:lang w:val="ru-RU"/>
        </w:rPr>
        <w:t xml:space="preserve"> </w:t>
      </w:r>
      <w:proofErr w:type="spellStart"/>
      <w:r w:rsidRPr="00320D2B">
        <w:rPr>
          <w:rFonts w:hint="eastAsia"/>
          <w:lang w:val="ru-RU"/>
        </w:rPr>
        <w:t>обоснование</w:t>
      </w:r>
      <w:proofErr w:type="spellEnd"/>
      <w:r w:rsidRPr="00320D2B">
        <w:rPr>
          <w:lang w:val="ru-RU"/>
        </w:rPr>
        <w:t xml:space="preserve"> </w:t>
      </w:r>
      <w:proofErr w:type="spellStart"/>
      <w:r w:rsidRPr="00320D2B">
        <w:rPr>
          <w:rFonts w:hint="eastAsia"/>
          <w:lang w:val="ru-RU"/>
        </w:rPr>
        <w:t>организации</w:t>
      </w:r>
      <w:proofErr w:type="spellEnd"/>
      <w:r w:rsidRPr="00320D2B">
        <w:rPr>
          <w:lang w:val="ru-RU"/>
        </w:rPr>
        <w:t xml:space="preserve"> </w:t>
      </w:r>
      <w:proofErr w:type="spellStart"/>
      <w:r w:rsidRPr="00320D2B">
        <w:rPr>
          <w:rFonts w:hint="eastAsia"/>
          <w:lang w:val="ru-RU"/>
        </w:rPr>
        <w:t>оказания</w:t>
      </w:r>
      <w:proofErr w:type="spellEnd"/>
      <w:r w:rsidRPr="00320D2B">
        <w:rPr>
          <w:lang w:val="ru-RU"/>
        </w:rPr>
        <w:t xml:space="preserve"> </w:t>
      </w:r>
      <w:proofErr w:type="spellStart"/>
      <w:r w:rsidRPr="00320D2B">
        <w:rPr>
          <w:rFonts w:hint="eastAsia"/>
          <w:lang w:val="ru-RU"/>
        </w:rPr>
        <w:t>медицинской</w:t>
      </w:r>
      <w:proofErr w:type="spellEnd"/>
      <w:r w:rsidRPr="00320D2B">
        <w:rPr>
          <w:lang w:val="ru-RU"/>
        </w:rPr>
        <w:t xml:space="preserve"> </w:t>
      </w:r>
      <w:proofErr w:type="spellStart"/>
      <w:r w:rsidRPr="00320D2B">
        <w:rPr>
          <w:rFonts w:hint="eastAsia"/>
          <w:lang w:val="ru-RU"/>
        </w:rPr>
        <w:t>помощи</w:t>
      </w:r>
      <w:proofErr w:type="spellEnd"/>
      <w:r w:rsidRPr="00320D2B">
        <w:rPr>
          <w:lang w:val="ru-RU"/>
        </w:rPr>
        <w:t xml:space="preserve"> </w:t>
      </w:r>
      <w:proofErr w:type="spellStart"/>
      <w:r w:rsidRPr="00320D2B">
        <w:rPr>
          <w:rFonts w:hint="eastAsia"/>
          <w:lang w:val="ru-RU"/>
        </w:rPr>
        <w:t>больным</w:t>
      </w:r>
      <w:proofErr w:type="spellEnd"/>
      <w:r w:rsidRPr="00320D2B">
        <w:rPr>
          <w:lang w:val="ru-RU"/>
        </w:rPr>
        <w:t xml:space="preserve"> </w:t>
      </w:r>
      <w:proofErr w:type="spellStart"/>
      <w:r w:rsidRPr="00320D2B">
        <w:rPr>
          <w:rFonts w:hint="eastAsia"/>
          <w:lang w:val="ru-RU"/>
        </w:rPr>
        <w:t>на</w:t>
      </w:r>
      <w:proofErr w:type="spellEnd"/>
      <w:r w:rsidRPr="00320D2B">
        <w:rPr>
          <w:lang w:val="ru-RU"/>
        </w:rPr>
        <w:t xml:space="preserve"> </w:t>
      </w:r>
      <w:proofErr w:type="spellStart"/>
      <w:r w:rsidRPr="00320D2B">
        <w:rPr>
          <w:rFonts w:hint="eastAsia"/>
          <w:lang w:val="ru-RU"/>
        </w:rPr>
        <w:t>различных</w:t>
      </w:r>
      <w:proofErr w:type="spellEnd"/>
      <w:r w:rsidRPr="00320D2B">
        <w:rPr>
          <w:lang w:val="ru-RU"/>
        </w:rPr>
        <w:t xml:space="preserve"> </w:t>
      </w:r>
      <w:proofErr w:type="spellStart"/>
      <w:r w:rsidRPr="00320D2B">
        <w:rPr>
          <w:rFonts w:hint="eastAsia"/>
          <w:lang w:val="ru-RU"/>
        </w:rPr>
        <w:t>этапах</w:t>
      </w:r>
      <w:proofErr w:type="spellEnd"/>
    </w:p>
    <w:p w14:paraId="72940286" w14:textId="77777777" w:rsidR="00320D2B" w:rsidRDefault="00320D2B" w:rsidP="00320D2B">
      <w:pPr>
        <w:pStyle w:val="20"/>
        <w:shd w:val="clear" w:color="auto" w:fill="FFFFFF"/>
        <w:spacing w:before="0" w:after="312"/>
        <w:rPr>
          <w:rFonts w:ascii="PT Sans" w:hAnsi="PT Sans"/>
          <w:caps/>
          <w:color w:val="333333"/>
          <w:kern w:val="0"/>
          <w:sz w:val="27"/>
          <w:szCs w:val="27"/>
          <w:lang w:val="ru-RU" w:eastAsia="ru-RU"/>
        </w:rPr>
      </w:pPr>
      <w:r>
        <w:rPr>
          <w:rFonts w:ascii="PT Sans" w:hAnsi="PT Sans"/>
          <w:caps/>
          <w:color w:val="333333"/>
          <w:sz w:val="27"/>
          <w:szCs w:val="27"/>
        </w:rPr>
        <w:t>ОГЛАВЛЕНИЕ ДИССЕРТАЦИИ</w:t>
      </w:r>
      <w:r>
        <w:rPr>
          <w:rFonts w:ascii="PT Sans" w:hAnsi="PT Sans"/>
          <w:color w:val="646B71"/>
          <w:sz w:val="18"/>
          <w:szCs w:val="18"/>
        </w:rPr>
        <w:t>кандидат наук Дулов, Андрей Анатольевич</w:t>
      </w:r>
    </w:p>
    <w:p w14:paraId="3331C598"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Содержание 5</w:t>
      </w:r>
    </w:p>
    <w:p w14:paraId="177615E3"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Введение 7</w:t>
      </w:r>
    </w:p>
    <w:p w14:paraId="28326BC0"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Глава 1. Современные проблемы лечения заболеваний 15 мочеполовой системы (обзор литературы)</w:t>
      </w:r>
    </w:p>
    <w:p w14:paraId="315C66C3"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1.1. Анализ медико-социальных аспектов развития 15 заболеваний мочеполовой системы и организация урологической помощи населению на современном этапе</w:t>
      </w:r>
    </w:p>
    <w:p w14:paraId="40DF21A7"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1.2. Обзор результатов региональных исследований по оценке 30 уровня урологической заболеваемости и её причин</w:t>
      </w:r>
    </w:p>
    <w:p w14:paraId="4B1AE334"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Выводы по 1 главе 35</w:t>
      </w:r>
    </w:p>
    <w:p w14:paraId="618B0C11"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Глава 2. Программа, методы и объём исследования 37</w:t>
      </w:r>
    </w:p>
    <w:p w14:paraId="2E5AE1A3"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Глава 3. Оценка состояния и характера изменения 45 заболеваемости болезнями мочеполовой системы различных групп населения Воронежской области</w:t>
      </w:r>
    </w:p>
    <w:p w14:paraId="6F8EEE8C"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3.1. Теоретическое обоснование организации и реализации 45</w:t>
      </w:r>
    </w:p>
    <w:p w14:paraId="596263E0"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мероприятий по лечению заболеваний мочеполовой системы с учетом региональных особенностей</w:t>
      </w:r>
    </w:p>
    <w:p w14:paraId="2E9E5B52"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3.2. Сравнительный анализ заболеваемости населения 56 болезнями мочеполовой системы по данным обращаемости за медицинской помощью в поликлинические учреждения</w:t>
      </w:r>
    </w:p>
    <w:p w14:paraId="0C22358E"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3.3. Кадровый потенциал урологической службы Воронежской 67 области</w:t>
      </w:r>
    </w:p>
    <w:p w14:paraId="176D371F"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3.4. Оценка воздействия экзогенных факторов риска, включая 71 питьевую воду, на формирование мочекаменной болезни и уровень заболеваемости населения инфекциями почек</w:t>
      </w:r>
    </w:p>
    <w:p w14:paraId="53E84C05"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Выводы по 3 главе 86</w:t>
      </w:r>
    </w:p>
    <w:p w14:paraId="11B938A8"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Глава 4. Формирование процесса лечения больных с 88 заболеваниями мочеполовой системы</w:t>
      </w:r>
    </w:p>
    <w:p w14:paraId="09BF3A89"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lastRenderedPageBreak/>
        <w:t>4.1. Анализ данных госпитального этапа организации 88 оказания медицинской помощи больным мочекаменной болезнью и с инфекциями мочеполовой системы</w:t>
      </w:r>
    </w:p>
    <w:p w14:paraId="08354169"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4.2. Обоснование сочетания лечебно-диагностических 96 стандартов и индивидуального подхода для повышения эффективности организации оказания медицинской помощи</w:t>
      </w:r>
    </w:p>
    <w:p w14:paraId="7E1B0FFD"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4.3. Оптимизация схем диагностики и лечения мочекаменной 99</w:t>
      </w:r>
    </w:p>
    <w:p w14:paraId="6F415B9D"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болезни при различных типах камней почек</w:t>
      </w:r>
    </w:p>
    <w:p w14:paraId="396475DF"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4.4. Оценка информативности методов диагностики и 111 клинических признаков при оказании медицинской помощи больным мочекаменной болезнью и с инфекциями мочеполовой системы</w:t>
      </w:r>
    </w:p>
    <w:p w14:paraId="5E0AABC6"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Выводы по 4 главе 112</w:t>
      </w:r>
    </w:p>
    <w:p w14:paraId="5A6CBADF"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Глава 5. Система управления процессом оказания 114 медицинской помощи по профилактике и лечению заболеваний мочеполовой системы и реализация результатов исследования в клинической практике</w:t>
      </w:r>
    </w:p>
    <w:p w14:paraId="1849E517"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5.1. Обоснование и реализация мероприятий региональной 115 программы «Урология» на базе урологического центра БУЗ</w:t>
      </w:r>
    </w:p>
    <w:p w14:paraId="65E6624B"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5.2. Мероприятия по первичной профилактике заболеваемости 123 населения болезнями мочеполовой системы и снижению уровня воздействия экзогенных факторов риска</w:t>
      </w:r>
    </w:p>
    <w:p w14:paraId="5255C743"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Приложение 2 (акты практического внедрения результатов 176 исследования)</w:t>
      </w:r>
    </w:p>
    <w:p w14:paraId="3FCA4462"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«ВГКБ СМП №10»</w:t>
      </w:r>
    </w:p>
    <w:p w14:paraId="4DAE44C8"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Выводы по 5 главе Заключение Выводы</w:t>
      </w:r>
    </w:p>
    <w:p w14:paraId="31919D0D"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Практические рекомендации</w:t>
      </w:r>
    </w:p>
    <w:p w14:paraId="3A42C0E2"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Список литературы</w:t>
      </w:r>
    </w:p>
    <w:p w14:paraId="2DEE6AAE"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Приложение 1 (табличный материал)</w:t>
      </w:r>
    </w:p>
    <w:p w14:paraId="2E7F611D" w14:textId="77777777"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131</w:t>
      </w:r>
    </w:p>
    <w:p w14:paraId="67BD6F72" w14:textId="765A7EFF" w:rsidR="00320D2B" w:rsidRDefault="00320D2B" w:rsidP="00320D2B">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lastRenderedPageBreak/>
        <w:t>132 136 138 140</w:t>
      </w:r>
      <w:r>
        <w:rPr>
          <w:rFonts w:ascii="PT Sans" w:hAnsi="PT Sans"/>
          <w:color w:val="333333"/>
          <w:sz w:val="21"/>
          <w:szCs w:val="21"/>
        </w:rPr>
        <w:t> </w:t>
      </w:r>
      <w:r>
        <w:rPr>
          <w:rFonts w:ascii="PT Sans" w:hAnsi="PT Sans"/>
          <w:color w:val="333333"/>
          <w:sz w:val="21"/>
          <w:szCs w:val="21"/>
        </w:rPr>
        <w:t>167</w:t>
      </w:r>
    </w:p>
    <w:p w14:paraId="765DB475" w14:textId="77777777" w:rsidR="00320D2B" w:rsidRPr="00320D2B" w:rsidRDefault="00320D2B" w:rsidP="00320D2B"/>
    <w:sectPr w:rsidR="00320D2B" w:rsidRPr="00320D2B" w:rsidSect="00616B1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F588A" w14:textId="77777777" w:rsidR="00616B14" w:rsidRPr="00C66E52" w:rsidRDefault="00616B14">
      <w:pPr>
        <w:spacing w:after="0" w:line="240" w:lineRule="auto"/>
      </w:pPr>
      <w:r w:rsidRPr="00C66E52">
        <w:separator/>
      </w:r>
    </w:p>
  </w:endnote>
  <w:endnote w:type="continuationSeparator" w:id="0">
    <w:p w14:paraId="316ACDED" w14:textId="77777777" w:rsidR="00616B14" w:rsidRPr="00C66E52" w:rsidRDefault="00616B14">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T Sans">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3AB8F" w14:textId="77777777" w:rsidR="00616B14" w:rsidRPr="00C66E52" w:rsidRDefault="00616B14"/>
    <w:p w14:paraId="14D977F3" w14:textId="77777777" w:rsidR="00616B14" w:rsidRPr="00C66E52" w:rsidRDefault="00616B14"/>
    <w:p w14:paraId="75DB6770" w14:textId="77777777" w:rsidR="00616B14" w:rsidRPr="00C66E52" w:rsidRDefault="00616B14"/>
    <w:p w14:paraId="7D1C1C6F" w14:textId="77777777" w:rsidR="00616B14" w:rsidRPr="00C66E52" w:rsidRDefault="00616B14"/>
    <w:p w14:paraId="3A7BCC21" w14:textId="77777777" w:rsidR="00616B14" w:rsidRPr="00C66E52" w:rsidRDefault="00616B14"/>
    <w:p w14:paraId="3A52E6EE" w14:textId="77777777" w:rsidR="00616B14" w:rsidRPr="00C66E52" w:rsidRDefault="00616B14"/>
    <w:p w14:paraId="1972033E" w14:textId="77777777" w:rsidR="00616B14" w:rsidRPr="00C66E52" w:rsidRDefault="00616B14">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D0DD17D" wp14:editId="562A70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8B6C3" w14:textId="77777777" w:rsidR="00616B14" w:rsidRPr="00C66E52" w:rsidRDefault="00616B1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0DD1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08B6C3" w14:textId="77777777" w:rsidR="00616B14" w:rsidRPr="00C66E52" w:rsidRDefault="00616B1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5F31FA4" w14:textId="77777777" w:rsidR="00616B14" w:rsidRPr="00C66E52" w:rsidRDefault="00616B14"/>
    <w:p w14:paraId="1B11A04F" w14:textId="77777777" w:rsidR="00616B14" w:rsidRPr="00C66E52" w:rsidRDefault="00616B14"/>
    <w:p w14:paraId="0E3FC65A" w14:textId="77777777" w:rsidR="00616B14" w:rsidRPr="00C66E52" w:rsidRDefault="00616B14">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533012F" wp14:editId="00C146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7CBFA" w14:textId="77777777" w:rsidR="00616B14" w:rsidRPr="00C66E52" w:rsidRDefault="00616B14"/>
                          <w:p w14:paraId="65A90611" w14:textId="77777777" w:rsidR="00616B14" w:rsidRPr="00C66E52" w:rsidRDefault="00616B1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3301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587CBFA" w14:textId="77777777" w:rsidR="00616B14" w:rsidRPr="00C66E52" w:rsidRDefault="00616B14"/>
                    <w:p w14:paraId="65A90611" w14:textId="77777777" w:rsidR="00616B14" w:rsidRPr="00C66E52" w:rsidRDefault="00616B1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FA92165" w14:textId="77777777" w:rsidR="00616B14" w:rsidRPr="00C66E52" w:rsidRDefault="00616B14"/>
    <w:p w14:paraId="5672EA18" w14:textId="77777777" w:rsidR="00616B14" w:rsidRPr="00C66E52" w:rsidRDefault="00616B14">
      <w:pPr>
        <w:rPr>
          <w:sz w:val="2"/>
          <w:szCs w:val="2"/>
        </w:rPr>
      </w:pPr>
    </w:p>
    <w:p w14:paraId="118B82B9" w14:textId="77777777" w:rsidR="00616B14" w:rsidRPr="00C66E52" w:rsidRDefault="00616B14"/>
    <w:p w14:paraId="3022AB2E" w14:textId="77777777" w:rsidR="00616B14" w:rsidRPr="00C66E52" w:rsidRDefault="00616B14">
      <w:pPr>
        <w:spacing w:after="0" w:line="240" w:lineRule="auto"/>
      </w:pPr>
    </w:p>
  </w:footnote>
  <w:footnote w:type="continuationSeparator" w:id="0">
    <w:p w14:paraId="6C6B889A" w14:textId="77777777" w:rsidR="00616B14" w:rsidRPr="00C66E52" w:rsidRDefault="00616B14">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B14"/>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25298</TotalTime>
  <Pages>3</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3748</cp:revision>
  <cp:lastPrinted>2009-02-06T05:36:00Z</cp:lastPrinted>
  <dcterms:created xsi:type="dcterms:W3CDTF">2024-04-09T10:20:00Z</dcterms:created>
  <dcterms:modified xsi:type="dcterms:W3CDTF">2024-05-08T11:54:00Z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