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CE" w:rsidRPr="007573CE" w:rsidRDefault="007573CE" w:rsidP="007573CE">
      <w:pPr>
        <w:tabs>
          <w:tab w:val="clear" w:pos="709"/>
        </w:tabs>
        <w:suppressAutoHyphens w:val="0"/>
        <w:spacing w:after="720" w:line="480" w:lineRule="exact"/>
        <w:ind w:firstLine="0"/>
        <w:jc w:val="center"/>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Київський національний університет імені Тараса Шевченка</w:t>
      </w:r>
      <w:r w:rsidRPr="007573CE">
        <w:rPr>
          <w:rFonts w:ascii="Times New Roman" w:eastAsia="Times New Roman" w:hAnsi="Times New Roman" w:cs="Times New Roman"/>
          <w:color w:val="000000"/>
          <w:kern w:val="0"/>
          <w:sz w:val="26"/>
          <w:szCs w:val="26"/>
          <w:lang w:val="uk-UA" w:eastAsia="uk-UA" w:bidi="uk-UA"/>
        </w:rPr>
        <w:br/>
        <w:t>Міністерство освіти і науки України</w:t>
      </w:r>
      <w:r w:rsidRPr="007573CE">
        <w:rPr>
          <w:rFonts w:ascii="Times New Roman" w:eastAsia="Times New Roman" w:hAnsi="Times New Roman" w:cs="Times New Roman"/>
          <w:color w:val="000000"/>
          <w:kern w:val="0"/>
          <w:sz w:val="26"/>
          <w:szCs w:val="26"/>
          <w:lang w:val="uk-UA" w:eastAsia="uk-UA" w:bidi="uk-UA"/>
        </w:rPr>
        <w:br/>
        <w:t>Київський національний університет імені Тараса Шевченка</w:t>
      </w:r>
      <w:r w:rsidRPr="007573CE">
        <w:rPr>
          <w:rFonts w:ascii="Times New Roman" w:eastAsia="Times New Roman" w:hAnsi="Times New Roman" w:cs="Times New Roman"/>
          <w:color w:val="000000"/>
          <w:kern w:val="0"/>
          <w:sz w:val="26"/>
          <w:szCs w:val="26"/>
          <w:lang w:val="uk-UA" w:eastAsia="uk-UA" w:bidi="uk-UA"/>
        </w:rPr>
        <w:br/>
        <w:t>Міністерство освіти і науки України</w:t>
      </w:r>
    </w:p>
    <w:p w:rsidR="007573CE" w:rsidRPr="007573CE" w:rsidRDefault="007573CE" w:rsidP="007573CE">
      <w:pPr>
        <w:tabs>
          <w:tab w:val="clear" w:pos="709"/>
        </w:tabs>
        <w:suppressAutoHyphens w:val="0"/>
        <w:spacing w:after="776" w:line="480" w:lineRule="exact"/>
        <w:ind w:left="6300" w:firstLine="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Кваліфікаційна наукова праця на правах рукопису</w:t>
      </w:r>
    </w:p>
    <w:p w:rsidR="007573CE" w:rsidRPr="007573CE" w:rsidRDefault="007573CE" w:rsidP="007573CE">
      <w:pPr>
        <w:keepNext/>
        <w:keepLines/>
        <w:tabs>
          <w:tab w:val="clear" w:pos="709"/>
        </w:tabs>
        <w:suppressAutoHyphens w:val="0"/>
        <w:spacing w:after="657" w:line="260" w:lineRule="exact"/>
        <w:ind w:firstLine="0"/>
        <w:jc w:val="center"/>
        <w:outlineLvl w:val="2"/>
        <w:rPr>
          <w:rFonts w:ascii="Times New Roman" w:eastAsia="Times New Roman" w:hAnsi="Times New Roman" w:cs="Times New Roman"/>
          <w:b/>
          <w:bCs/>
          <w:color w:val="000000"/>
          <w:kern w:val="0"/>
          <w:sz w:val="26"/>
          <w:szCs w:val="26"/>
          <w:lang w:val="uk-UA" w:eastAsia="uk-UA" w:bidi="uk-UA"/>
        </w:rPr>
      </w:pPr>
      <w:bookmarkStart w:id="0" w:name="bookmark0"/>
      <w:r w:rsidRPr="007573CE">
        <w:rPr>
          <w:rFonts w:ascii="Times New Roman" w:eastAsia="Times New Roman" w:hAnsi="Times New Roman" w:cs="Times New Roman"/>
          <w:b/>
          <w:bCs/>
          <w:color w:val="000000"/>
          <w:kern w:val="0"/>
          <w:sz w:val="26"/>
          <w:szCs w:val="26"/>
          <w:lang w:val="uk-UA" w:eastAsia="uk-UA" w:bidi="uk-UA"/>
        </w:rPr>
        <w:t>БАЛИЦЬКА МАРІЯ ВАЛЕРІЇВНА</w:t>
      </w:r>
      <w:bookmarkEnd w:id="0"/>
    </w:p>
    <w:p w:rsidR="007573CE" w:rsidRPr="007573CE" w:rsidRDefault="007573CE" w:rsidP="007573CE">
      <w:pPr>
        <w:tabs>
          <w:tab w:val="clear" w:pos="709"/>
        </w:tabs>
        <w:suppressAutoHyphens w:val="0"/>
        <w:spacing w:after="652" w:line="260" w:lineRule="exact"/>
        <w:ind w:left="6300" w:firstLine="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УДК 336-21.387:368(477)</w:t>
      </w:r>
    </w:p>
    <w:p w:rsidR="007573CE" w:rsidRPr="007573CE" w:rsidRDefault="007573CE" w:rsidP="007573CE">
      <w:pPr>
        <w:keepNext/>
        <w:keepLines/>
        <w:tabs>
          <w:tab w:val="clear" w:pos="709"/>
        </w:tabs>
        <w:suppressAutoHyphens w:val="0"/>
        <w:spacing w:after="710" w:line="260" w:lineRule="exact"/>
        <w:ind w:firstLine="0"/>
        <w:jc w:val="center"/>
        <w:outlineLvl w:val="2"/>
        <w:rPr>
          <w:rFonts w:ascii="Times New Roman" w:eastAsia="Times New Roman" w:hAnsi="Times New Roman" w:cs="Times New Roman"/>
          <w:b/>
          <w:bCs/>
          <w:color w:val="000000"/>
          <w:kern w:val="0"/>
          <w:sz w:val="26"/>
          <w:szCs w:val="26"/>
          <w:lang w:val="uk-UA" w:eastAsia="uk-UA" w:bidi="uk-UA"/>
        </w:rPr>
      </w:pPr>
      <w:bookmarkStart w:id="1" w:name="bookmark1"/>
      <w:r w:rsidRPr="007573CE">
        <w:rPr>
          <w:rFonts w:ascii="Times New Roman" w:eastAsia="Times New Roman" w:hAnsi="Times New Roman" w:cs="Times New Roman"/>
          <w:b/>
          <w:bCs/>
          <w:color w:val="000000"/>
          <w:kern w:val="0"/>
          <w:sz w:val="26"/>
          <w:szCs w:val="26"/>
          <w:lang w:val="uk-UA" w:eastAsia="uk-UA" w:bidi="uk-UA"/>
        </w:rPr>
        <w:t>ДИСЕРТАЦІЯ</w:t>
      </w:r>
      <w:bookmarkEnd w:id="1"/>
    </w:p>
    <w:p w:rsidR="007573CE" w:rsidRPr="007573CE" w:rsidRDefault="007573CE" w:rsidP="007573CE">
      <w:pPr>
        <w:tabs>
          <w:tab w:val="clear" w:pos="709"/>
        </w:tabs>
        <w:suppressAutoHyphens w:val="0"/>
        <w:spacing w:after="30" w:line="260" w:lineRule="exact"/>
        <w:ind w:left="340" w:firstLine="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ЗАБЕЗПЕЧЕННЯ ФІНАНСОВОЇ СТІЙКОСТІ СТРАХОВОЇ КОМПАНІЇ</w:t>
      </w:r>
    </w:p>
    <w:p w:rsidR="007573CE" w:rsidRPr="007573CE" w:rsidRDefault="007573CE" w:rsidP="007573CE">
      <w:pPr>
        <w:tabs>
          <w:tab w:val="clear" w:pos="709"/>
        </w:tabs>
        <w:suppressAutoHyphens w:val="0"/>
        <w:spacing w:after="657" w:line="260" w:lineRule="exact"/>
        <w:ind w:firstLine="0"/>
        <w:jc w:val="center"/>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В УКРАЇНІ</w:t>
      </w:r>
      <w:r w:rsidRPr="007573CE">
        <w:rPr>
          <w:rFonts w:ascii="Times New Roman" w:eastAsia="Times New Roman" w:hAnsi="Times New Roman" w:cs="Times New Roman"/>
          <w:color w:val="000000"/>
          <w:kern w:val="0"/>
          <w:sz w:val="26"/>
          <w:szCs w:val="26"/>
          <w:lang w:val="uk-UA" w:eastAsia="uk-UA" w:bidi="uk-UA"/>
        </w:rPr>
        <w:br/>
        <w:t>08.00.08 — гроші, фінанси і кредит</w:t>
      </w:r>
    </w:p>
    <w:p w:rsidR="007573CE" w:rsidRPr="007573CE" w:rsidRDefault="007573CE" w:rsidP="007573CE">
      <w:pPr>
        <w:tabs>
          <w:tab w:val="clear" w:pos="709"/>
        </w:tabs>
        <w:suppressAutoHyphens w:val="0"/>
        <w:spacing w:after="608" w:line="260" w:lineRule="exact"/>
        <w:ind w:firstLine="0"/>
        <w:jc w:val="center"/>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Подається на здобуття наукового ступеня кандидата економічних наук</w:t>
      </w:r>
    </w:p>
    <w:p w:rsidR="007573CE" w:rsidRPr="007573CE" w:rsidRDefault="007573CE" w:rsidP="007573CE">
      <w:pPr>
        <w:tabs>
          <w:tab w:val="clear" w:pos="709"/>
          <w:tab w:val="left" w:leader="underscore" w:pos="1824"/>
        </w:tabs>
        <w:suppressAutoHyphens w:val="0"/>
        <w:spacing w:after="600" w:line="322" w:lineRule="exact"/>
        <w:ind w:firstLine="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 xml:space="preserve">Дисертація містить результати власних досліджень. Використання ідей, результатів і текстів інших авторів мають посилання на відповідне джерело </w:t>
      </w:r>
      <w:r w:rsidRPr="007573CE">
        <w:rPr>
          <w:rFonts w:ascii="Times New Roman" w:eastAsia="Times New Roman" w:hAnsi="Times New Roman" w:cs="Times New Roman"/>
          <w:color w:val="000000"/>
          <w:kern w:val="0"/>
          <w:sz w:val="26"/>
          <w:szCs w:val="26"/>
          <w:lang w:val="uk-UA" w:eastAsia="uk-UA" w:bidi="uk-UA"/>
        </w:rPr>
        <w:tab/>
        <w:t>М.В. Балицька</w:t>
      </w:r>
    </w:p>
    <w:p w:rsidR="007573CE" w:rsidRPr="007573CE" w:rsidRDefault="007573CE" w:rsidP="007573CE">
      <w:pPr>
        <w:tabs>
          <w:tab w:val="clear" w:pos="709"/>
        </w:tabs>
        <w:suppressAutoHyphens w:val="0"/>
        <w:spacing w:after="1429" w:line="322" w:lineRule="exact"/>
        <w:ind w:firstLine="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Науковий керівник Пікус Руслана Володимирівна, кандидат економічних наук, професор, Заслужений працівник освіти України</w:t>
      </w:r>
    </w:p>
    <w:p w:rsidR="007573CE" w:rsidRPr="007573CE" w:rsidRDefault="007573CE" w:rsidP="007573CE">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Київ - 2019</w:t>
      </w:r>
    </w:p>
    <w:p w:rsidR="00EE4227" w:rsidRDefault="00EE4227" w:rsidP="007573CE"/>
    <w:p w:rsidR="007573CE" w:rsidRDefault="007573CE" w:rsidP="007573CE"/>
    <w:p w:rsidR="007573CE" w:rsidRDefault="007573CE" w:rsidP="007573CE"/>
    <w:p w:rsidR="007573CE" w:rsidRPr="007573CE" w:rsidRDefault="007573CE" w:rsidP="007573CE">
      <w:pPr>
        <w:keepNext/>
        <w:keepLines/>
        <w:tabs>
          <w:tab w:val="clear" w:pos="709"/>
        </w:tabs>
        <w:suppressAutoHyphens w:val="0"/>
        <w:spacing w:after="476" w:line="260" w:lineRule="exact"/>
        <w:ind w:left="20" w:firstLine="0"/>
        <w:jc w:val="center"/>
        <w:outlineLvl w:val="2"/>
        <w:rPr>
          <w:rFonts w:ascii="Times New Roman" w:eastAsia="Times New Roman" w:hAnsi="Times New Roman" w:cs="Times New Roman"/>
          <w:b/>
          <w:bCs/>
          <w:color w:val="000000"/>
          <w:kern w:val="0"/>
          <w:sz w:val="26"/>
          <w:szCs w:val="26"/>
          <w:lang w:val="uk-UA" w:eastAsia="uk-UA" w:bidi="uk-UA"/>
        </w:rPr>
      </w:pPr>
      <w:bookmarkStart w:id="2" w:name="bookmark4"/>
      <w:r w:rsidRPr="007573CE">
        <w:rPr>
          <w:rFonts w:ascii="Times New Roman" w:eastAsia="Times New Roman" w:hAnsi="Times New Roman" w:cs="Times New Roman"/>
          <w:b/>
          <w:bCs/>
          <w:color w:val="000000"/>
          <w:kern w:val="0"/>
          <w:sz w:val="26"/>
          <w:szCs w:val="26"/>
          <w:lang w:val="uk-UA" w:eastAsia="uk-UA" w:bidi="uk-UA"/>
        </w:rPr>
        <w:t>ЗМІСТ</w:t>
      </w:r>
      <w:bookmarkEnd w:id="2"/>
    </w:p>
    <w:p w:rsidR="007573CE" w:rsidRPr="007573CE" w:rsidRDefault="007573CE" w:rsidP="007573CE">
      <w:pPr>
        <w:tabs>
          <w:tab w:val="clear" w:pos="709"/>
          <w:tab w:val="right" w:leader="dot" w:pos="933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fldChar w:fldCharType="begin"/>
      </w:r>
      <w:r w:rsidRPr="007573CE">
        <w:rPr>
          <w:rFonts w:ascii="Times New Roman" w:eastAsia="Times New Roman" w:hAnsi="Times New Roman" w:cs="Times New Roman"/>
          <w:color w:val="000000"/>
          <w:kern w:val="0"/>
          <w:sz w:val="26"/>
          <w:szCs w:val="26"/>
          <w:lang w:val="uk-UA" w:eastAsia="uk-UA" w:bidi="uk-UA"/>
        </w:rPr>
        <w:instrText xml:space="preserve"> TOC \o "1-5" \h \z </w:instrText>
      </w:r>
      <w:r w:rsidRPr="007573CE">
        <w:rPr>
          <w:rFonts w:ascii="Times New Roman" w:eastAsia="Times New Roman" w:hAnsi="Times New Roman" w:cs="Times New Roman"/>
          <w:color w:val="000000"/>
          <w:kern w:val="0"/>
          <w:sz w:val="26"/>
          <w:szCs w:val="26"/>
          <w:lang w:val="uk-UA" w:eastAsia="uk-UA" w:bidi="uk-UA"/>
        </w:rPr>
        <w:fldChar w:fldCharType="separate"/>
      </w:r>
      <w:r w:rsidRPr="007573CE">
        <w:rPr>
          <w:rFonts w:ascii="Times New Roman" w:eastAsia="Times New Roman" w:hAnsi="Times New Roman" w:cs="Times New Roman"/>
          <w:color w:val="000000"/>
          <w:kern w:val="0"/>
          <w:sz w:val="26"/>
          <w:szCs w:val="26"/>
          <w:lang w:val="uk-UA" w:eastAsia="uk-UA" w:bidi="uk-UA"/>
        </w:rPr>
        <w:t>ВСТУП</w:t>
      </w:r>
      <w:r w:rsidRPr="007573CE">
        <w:rPr>
          <w:rFonts w:ascii="Times New Roman" w:eastAsia="Times New Roman" w:hAnsi="Times New Roman" w:cs="Times New Roman"/>
          <w:color w:val="000000"/>
          <w:kern w:val="0"/>
          <w:sz w:val="26"/>
          <w:szCs w:val="26"/>
          <w:lang w:val="uk-UA" w:eastAsia="uk-UA" w:bidi="uk-UA"/>
        </w:rPr>
        <w:tab/>
        <w:t>14</w:t>
      </w:r>
    </w:p>
    <w:p w:rsidR="007573CE" w:rsidRPr="007573CE" w:rsidRDefault="007573CE" w:rsidP="007573CE">
      <w:pPr>
        <w:tabs>
          <w:tab w:val="clear" w:pos="709"/>
          <w:tab w:val="right" w:leader="dot" w:pos="933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РОЗДІЛ 1. ТЕОРЕТИЧНІ ОСНОВИ АНАЛІЗУ ПРОЦЕСІВ ЗАБЕЗПЕЧЕННЯ ФІНАНСОВОЇ СТІЙКОСТІ СТРАХОВОЇ КОМПАНІЇ</w:t>
      </w:r>
      <w:r w:rsidRPr="007573CE">
        <w:rPr>
          <w:rFonts w:ascii="Times New Roman" w:eastAsia="Times New Roman" w:hAnsi="Times New Roman" w:cs="Times New Roman"/>
          <w:color w:val="000000"/>
          <w:kern w:val="0"/>
          <w:sz w:val="26"/>
          <w:szCs w:val="26"/>
          <w:lang w:val="uk-UA" w:eastAsia="uk-UA" w:bidi="uk-UA"/>
        </w:rPr>
        <w:tab/>
        <w:t>23</w:t>
      </w:r>
    </w:p>
    <w:p w:rsidR="007573CE" w:rsidRPr="007573CE" w:rsidRDefault="007573CE" w:rsidP="007573CE">
      <w:pPr>
        <w:numPr>
          <w:ilvl w:val="0"/>
          <w:numId w:val="38"/>
        </w:numPr>
        <w:tabs>
          <w:tab w:val="clear" w:pos="709"/>
          <w:tab w:val="right" w:leader="dot" w:pos="9336"/>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hyperlink w:anchor="bookmark8" w:tooltip="Current Document">
        <w:r w:rsidRPr="007573CE">
          <w:rPr>
            <w:rFonts w:ascii="Times New Roman" w:eastAsia="Times New Roman" w:hAnsi="Times New Roman" w:cs="Times New Roman"/>
            <w:color w:val="000000"/>
            <w:kern w:val="0"/>
            <w:sz w:val="26"/>
            <w:szCs w:val="26"/>
            <w:lang w:val="uk-UA" w:eastAsia="uk-UA" w:bidi="uk-UA"/>
          </w:rPr>
          <w:t>Економічний зміст фінансової стійкості страхової компанії</w:t>
        </w:r>
        <w:r w:rsidRPr="007573CE">
          <w:rPr>
            <w:rFonts w:ascii="Times New Roman" w:eastAsia="Times New Roman" w:hAnsi="Times New Roman" w:cs="Times New Roman"/>
            <w:color w:val="000000"/>
            <w:kern w:val="0"/>
            <w:sz w:val="26"/>
            <w:szCs w:val="26"/>
            <w:lang w:val="uk-UA" w:eastAsia="uk-UA" w:bidi="uk-UA"/>
          </w:rPr>
          <w:tab/>
          <w:t>23</w:t>
        </w:r>
      </w:hyperlink>
    </w:p>
    <w:p w:rsidR="007573CE" w:rsidRPr="007573CE" w:rsidRDefault="007573CE" w:rsidP="007573CE">
      <w:pPr>
        <w:numPr>
          <w:ilvl w:val="0"/>
          <w:numId w:val="38"/>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Джерела забезпечення фінансової стійкості страхової</w:t>
      </w:r>
    </w:p>
    <w:p w:rsidR="007573CE" w:rsidRPr="007573CE" w:rsidRDefault="007573CE" w:rsidP="007573CE">
      <w:pPr>
        <w:tabs>
          <w:tab w:val="clear" w:pos="709"/>
          <w:tab w:val="right" w:leader="dot" w:pos="9336"/>
        </w:tabs>
        <w:suppressAutoHyphens w:val="0"/>
        <w:spacing w:after="0" w:line="480" w:lineRule="exact"/>
        <w:ind w:left="800" w:firstLine="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компанії</w:t>
      </w:r>
      <w:r w:rsidRPr="007573CE">
        <w:rPr>
          <w:rFonts w:ascii="Times New Roman" w:eastAsia="Times New Roman" w:hAnsi="Times New Roman" w:cs="Times New Roman"/>
          <w:color w:val="000000"/>
          <w:kern w:val="0"/>
          <w:sz w:val="26"/>
          <w:szCs w:val="26"/>
          <w:lang w:val="uk-UA" w:eastAsia="uk-UA" w:bidi="uk-UA"/>
        </w:rPr>
        <w:tab/>
        <w:t>45</w:t>
      </w:r>
    </w:p>
    <w:p w:rsidR="007573CE" w:rsidRPr="007573CE" w:rsidRDefault="007573CE" w:rsidP="007573CE">
      <w:pPr>
        <w:numPr>
          <w:ilvl w:val="0"/>
          <w:numId w:val="38"/>
        </w:numPr>
        <w:tabs>
          <w:tab w:val="clear" w:pos="709"/>
          <w:tab w:val="right" w:leader="dot" w:pos="9336"/>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hyperlink w:anchor="bookmark22" w:tooltip="Current Document">
        <w:r w:rsidRPr="007573CE">
          <w:rPr>
            <w:rFonts w:ascii="Times New Roman" w:eastAsia="Times New Roman" w:hAnsi="Times New Roman" w:cs="Times New Roman"/>
            <w:color w:val="000000"/>
            <w:kern w:val="0"/>
            <w:sz w:val="26"/>
            <w:szCs w:val="26"/>
            <w:lang w:val="uk-UA" w:eastAsia="uk-UA" w:bidi="uk-UA"/>
          </w:rPr>
          <w:t>Управління фінансовою стійкістю страхової компанії</w:t>
        </w:r>
        <w:r w:rsidRPr="007573CE">
          <w:rPr>
            <w:rFonts w:ascii="Times New Roman" w:eastAsia="Times New Roman" w:hAnsi="Times New Roman" w:cs="Times New Roman"/>
            <w:color w:val="000000"/>
            <w:kern w:val="0"/>
            <w:sz w:val="26"/>
            <w:szCs w:val="26"/>
            <w:lang w:val="uk-UA" w:eastAsia="uk-UA" w:bidi="uk-UA"/>
          </w:rPr>
          <w:tab/>
          <w:t>74</w:t>
        </w:r>
      </w:hyperlink>
    </w:p>
    <w:p w:rsidR="007573CE" w:rsidRPr="007573CE" w:rsidRDefault="007573CE" w:rsidP="007573CE">
      <w:pPr>
        <w:tabs>
          <w:tab w:val="clear" w:pos="709"/>
          <w:tab w:val="right" w:leader="dot" w:pos="933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13" w:tooltip="Current Document">
        <w:r w:rsidRPr="007573CE">
          <w:rPr>
            <w:rFonts w:ascii="Times New Roman" w:eastAsia="Times New Roman" w:hAnsi="Times New Roman" w:cs="Times New Roman"/>
            <w:color w:val="000000"/>
            <w:kern w:val="0"/>
            <w:sz w:val="26"/>
            <w:szCs w:val="26"/>
            <w:lang w:val="uk-UA" w:eastAsia="uk-UA" w:bidi="uk-UA"/>
          </w:rPr>
          <w:t>ВИСНОВКИ ДО РОЗДІЛУ 1</w:t>
        </w:r>
        <w:r w:rsidRPr="007573CE">
          <w:rPr>
            <w:rFonts w:ascii="Times New Roman" w:eastAsia="Times New Roman" w:hAnsi="Times New Roman" w:cs="Times New Roman"/>
            <w:color w:val="000000"/>
            <w:kern w:val="0"/>
            <w:sz w:val="26"/>
            <w:szCs w:val="26"/>
            <w:lang w:val="uk-UA" w:eastAsia="uk-UA" w:bidi="uk-UA"/>
          </w:rPr>
          <w:tab/>
          <w:t>84</w:t>
        </w:r>
      </w:hyperlink>
    </w:p>
    <w:p w:rsidR="007573CE" w:rsidRPr="007573CE" w:rsidRDefault="007573CE" w:rsidP="007573CE">
      <w:pPr>
        <w:tabs>
          <w:tab w:val="clear" w:pos="709"/>
          <w:tab w:val="right" w:leader="dot" w:pos="933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РОЗДІЛ 2. ФОРМУВАННЯ ФІНАНСОВОЇ СТІЙКОСТІ СТРАХОВИХ КОМПАНІЙ В УКРАЇНІ</w:t>
      </w:r>
      <w:r w:rsidRPr="007573CE">
        <w:rPr>
          <w:rFonts w:ascii="Times New Roman" w:eastAsia="Times New Roman" w:hAnsi="Times New Roman" w:cs="Times New Roman"/>
          <w:color w:val="000000"/>
          <w:kern w:val="0"/>
          <w:sz w:val="26"/>
          <w:szCs w:val="26"/>
          <w:lang w:val="uk-UA" w:eastAsia="uk-UA" w:bidi="uk-UA"/>
        </w:rPr>
        <w:tab/>
        <w:t>86</w:t>
      </w:r>
    </w:p>
    <w:p w:rsidR="007573CE" w:rsidRPr="007573CE" w:rsidRDefault="007573CE" w:rsidP="007573CE">
      <w:pPr>
        <w:numPr>
          <w:ilvl w:val="0"/>
          <w:numId w:val="39"/>
        </w:numPr>
        <w:tabs>
          <w:tab w:val="clear" w:pos="709"/>
          <w:tab w:val="right" w:leader="dot" w:pos="9336"/>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hyperlink w:anchor="bookmark17" w:tooltip="Current Document">
        <w:r w:rsidRPr="007573CE">
          <w:rPr>
            <w:rFonts w:ascii="Times New Roman" w:eastAsia="Times New Roman" w:hAnsi="Times New Roman" w:cs="Times New Roman"/>
            <w:color w:val="000000"/>
            <w:kern w:val="0"/>
            <w:sz w:val="26"/>
            <w:szCs w:val="26"/>
            <w:lang w:val="uk-UA" w:eastAsia="uk-UA" w:bidi="uk-UA"/>
          </w:rPr>
          <w:t>Тенденції розвитку страхових компаній в Україні</w:t>
        </w:r>
        <w:r w:rsidRPr="007573CE">
          <w:rPr>
            <w:rFonts w:ascii="Times New Roman" w:eastAsia="Times New Roman" w:hAnsi="Times New Roman" w:cs="Times New Roman"/>
            <w:color w:val="000000"/>
            <w:kern w:val="0"/>
            <w:sz w:val="26"/>
            <w:szCs w:val="26"/>
            <w:lang w:val="uk-UA" w:eastAsia="uk-UA" w:bidi="uk-UA"/>
          </w:rPr>
          <w:tab/>
          <w:t>86</w:t>
        </w:r>
      </w:hyperlink>
    </w:p>
    <w:p w:rsidR="007573CE" w:rsidRPr="007573CE" w:rsidRDefault="007573CE" w:rsidP="007573CE">
      <w:pPr>
        <w:numPr>
          <w:ilvl w:val="0"/>
          <w:numId w:val="39"/>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Компаративний аналіз методичних підходів до оцінки фінансової</w:t>
      </w:r>
    </w:p>
    <w:p w:rsidR="007573CE" w:rsidRPr="007573CE" w:rsidRDefault="007573CE" w:rsidP="007573CE">
      <w:pPr>
        <w:tabs>
          <w:tab w:val="clear" w:pos="709"/>
          <w:tab w:val="right" w:leader="dot" w:pos="9336"/>
        </w:tabs>
        <w:suppressAutoHyphens w:val="0"/>
        <w:spacing w:after="0" w:line="480" w:lineRule="exact"/>
        <w:ind w:left="800" w:firstLine="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стійкості страхових компній</w:t>
      </w:r>
      <w:r w:rsidRPr="007573CE">
        <w:rPr>
          <w:rFonts w:ascii="Times New Roman" w:eastAsia="Times New Roman" w:hAnsi="Times New Roman" w:cs="Times New Roman"/>
          <w:color w:val="000000"/>
          <w:kern w:val="0"/>
          <w:sz w:val="26"/>
          <w:szCs w:val="26"/>
          <w:lang w:val="uk-UA" w:eastAsia="uk-UA" w:bidi="uk-UA"/>
        </w:rPr>
        <w:tab/>
        <w:t>107</w:t>
      </w:r>
    </w:p>
    <w:p w:rsidR="007573CE" w:rsidRPr="007573CE" w:rsidRDefault="007573CE" w:rsidP="007573CE">
      <w:pPr>
        <w:numPr>
          <w:ilvl w:val="0"/>
          <w:numId w:val="39"/>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Оцінка фінансової стійкості страхових компаній на основі тестів</w:t>
      </w:r>
    </w:p>
    <w:p w:rsidR="007573CE" w:rsidRPr="007573CE" w:rsidRDefault="007573CE" w:rsidP="007573CE">
      <w:pPr>
        <w:tabs>
          <w:tab w:val="clear" w:pos="709"/>
          <w:tab w:val="left" w:leader="dot" w:pos="8849"/>
        </w:tabs>
        <w:suppressAutoHyphens w:val="0"/>
        <w:spacing w:after="0" w:line="480" w:lineRule="exact"/>
        <w:ind w:left="800" w:firstLine="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раннього попередження</w:t>
      </w:r>
      <w:r w:rsidRPr="007573CE">
        <w:rPr>
          <w:rFonts w:ascii="Times New Roman" w:eastAsia="Times New Roman" w:hAnsi="Times New Roman" w:cs="Times New Roman"/>
          <w:color w:val="000000"/>
          <w:kern w:val="0"/>
          <w:sz w:val="26"/>
          <w:szCs w:val="26"/>
          <w:lang w:val="uk-UA" w:eastAsia="uk-UA" w:bidi="uk-UA"/>
        </w:rPr>
        <w:tab/>
        <w:t>122</w:t>
      </w:r>
    </w:p>
    <w:p w:rsidR="007573CE" w:rsidRPr="007573CE" w:rsidRDefault="007573CE" w:rsidP="007573CE">
      <w:pPr>
        <w:tabs>
          <w:tab w:val="clear" w:pos="709"/>
          <w:tab w:val="left" w:leader="dot" w:pos="884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19" w:tooltip="Current Document">
        <w:r w:rsidRPr="007573CE">
          <w:rPr>
            <w:rFonts w:ascii="Times New Roman" w:eastAsia="Times New Roman" w:hAnsi="Times New Roman" w:cs="Times New Roman"/>
            <w:color w:val="000000"/>
            <w:kern w:val="0"/>
            <w:sz w:val="26"/>
            <w:szCs w:val="26"/>
            <w:lang w:val="uk-UA" w:eastAsia="uk-UA" w:bidi="uk-UA"/>
          </w:rPr>
          <w:t>ВИСНОВКИ ДО РОЗДІЛУ ІІ</w:t>
        </w:r>
        <w:r w:rsidRPr="007573CE">
          <w:rPr>
            <w:rFonts w:ascii="Times New Roman" w:eastAsia="Times New Roman" w:hAnsi="Times New Roman" w:cs="Times New Roman"/>
            <w:color w:val="000000"/>
            <w:kern w:val="0"/>
            <w:sz w:val="26"/>
            <w:szCs w:val="26"/>
            <w:lang w:val="uk-UA" w:eastAsia="uk-UA" w:bidi="uk-UA"/>
          </w:rPr>
          <w:tab/>
          <w:t>135</w:t>
        </w:r>
      </w:hyperlink>
    </w:p>
    <w:p w:rsidR="007573CE" w:rsidRPr="007573CE" w:rsidRDefault="007573CE" w:rsidP="007573CE">
      <w:pPr>
        <w:tabs>
          <w:tab w:val="clear" w:pos="709"/>
          <w:tab w:val="right" w:leader="dot" w:pos="933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21" w:tooltip="Current Document">
        <w:r w:rsidRPr="007573CE">
          <w:rPr>
            <w:rFonts w:ascii="Times New Roman" w:eastAsia="Times New Roman" w:hAnsi="Times New Roman" w:cs="Times New Roman"/>
            <w:color w:val="000000"/>
            <w:kern w:val="0"/>
            <w:sz w:val="26"/>
            <w:szCs w:val="26"/>
            <w:lang w:val="uk-UA" w:eastAsia="uk-UA" w:bidi="uk-UA"/>
          </w:rPr>
          <w:t>РОЗДІЛ 3. ПІДТРИМКА ФІНАНСОВОЇ СТІЙКОСТІ СТРАХОВОЇ КОМПАНІЇ В УКРАЇНІ</w:t>
        </w:r>
        <w:r w:rsidRPr="007573CE">
          <w:rPr>
            <w:rFonts w:ascii="Times New Roman" w:eastAsia="Times New Roman" w:hAnsi="Times New Roman" w:cs="Times New Roman"/>
            <w:color w:val="000000"/>
            <w:kern w:val="0"/>
            <w:sz w:val="26"/>
            <w:szCs w:val="26"/>
            <w:lang w:val="uk-UA" w:eastAsia="uk-UA" w:bidi="uk-UA"/>
          </w:rPr>
          <w:tab/>
          <w:t>137</w:t>
        </w:r>
      </w:hyperlink>
    </w:p>
    <w:p w:rsidR="007573CE" w:rsidRPr="007573CE" w:rsidRDefault="007573CE" w:rsidP="007573CE">
      <w:pPr>
        <w:numPr>
          <w:ilvl w:val="1"/>
          <w:numId w:val="39"/>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Управління фінансовою стійкістю страховика з урахуванням</w:t>
      </w:r>
    </w:p>
    <w:p w:rsidR="007573CE" w:rsidRPr="007573CE" w:rsidRDefault="007573CE" w:rsidP="007573CE">
      <w:pPr>
        <w:tabs>
          <w:tab w:val="clear" w:pos="709"/>
          <w:tab w:val="right" w:leader="dot" w:pos="9336"/>
        </w:tabs>
        <w:suppressAutoHyphens w:val="0"/>
        <w:spacing w:after="0" w:line="480" w:lineRule="exact"/>
        <w:ind w:left="800" w:firstLine="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ризиків</w:t>
      </w:r>
      <w:r w:rsidRPr="007573CE">
        <w:rPr>
          <w:rFonts w:ascii="Times New Roman" w:eastAsia="Times New Roman" w:hAnsi="Times New Roman" w:cs="Times New Roman"/>
          <w:color w:val="000000"/>
          <w:kern w:val="0"/>
          <w:sz w:val="26"/>
          <w:szCs w:val="26"/>
          <w:lang w:val="uk-UA" w:eastAsia="uk-UA" w:bidi="uk-UA"/>
        </w:rPr>
        <w:tab/>
        <w:t>137</w:t>
      </w:r>
    </w:p>
    <w:p w:rsidR="007573CE" w:rsidRPr="007573CE" w:rsidRDefault="007573CE" w:rsidP="007573CE">
      <w:pPr>
        <w:numPr>
          <w:ilvl w:val="1"/>
          <w:numId w:val="39"/>
        </w:numPr>
        <w:tabs>
          <w:tab w:val="clear" w:pos="709"/>
          <w:tab w:val="right" w:leader="dot" w:pos="9336"/>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hyperlink w:anchor="bookmark23" w:tooltip="Current Document">
        <w:r w:rsidRPr="007573CE">
          <w:rPr>
            <w:rFonts w:ascii="Times New Roman" w:eastAsia="Times New Roman" w:hAnsi="Times New Roman" w:cs="Times New Roman"/>
            <w:color w:val="000000"/>
            <w:kern w:val="0"/>
            <w:sz w:val="26"/>
            <w:szCs w:val="26"/>
            <w:lang w:val="uk-UA" w:eastAsia="uk-UA" w:bidi="uk-UA"/>
          </w:rPr>
          <w:t>Рейтингування страхових компаній за фінансовою стійкістю</w:t>
        </w:r>
        <w:r w:rsidRPr="007573CE">
          <w:rPr>
            <w:rFonts w:ascii="Times New Roman" w:eastAsia="Times New Roman" w:hAnsi="Times New Roman" w:cs="Times New Roman"/>
            <w:color w:val="000000"/>
            <w:kern w:val="0"/>
            <w:sz w:val="26"/>
            <w:szCs w:val="26"/>
            <w:lang w:val="uk-UA" w:eastAsia="uk-UA" w:bidi="uk-UA"/>
          </w:rPr>
          <w:tab/>
          <w:t>152</w:t>
        </w:r>
      </w:hyperlink>
    </w:p>
    <w:p w:rsidR="007573CE" w:rsidRPr="007573CE" w:rsidRDefault="007573CE" w:rsidP="007573CE">
      <w:pPr>
        <w:numPr>
          <w:ilvl w:val="1"/>
          <w:numId w:val="39"/>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Стрес-тестування як інструмент прогнозування фінансової стійкості</w:t>
      </w:r>
    </w:p>
    <w:p w:rsidR="007573CE" w:rsidRPr="007573CE" w:rsidRDefault="007573CE" w:rsidP="007573CE">
      <w:pPr>
        <w:tabs>
          <w:tab w:val="clear" w:pos="709"/>
          <w:tab w:val="right" w:leader="dot" w:pos="9336"/>
        </w:tabs>
        <w:suppressAutoHyphens w:val="0"/>
        <w:spacing w:after="0" w:line="480" w:lineRule="exact"/>
        <w:ind w:left="800" w:firstLine="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страхових компаній</w:t>
      </w:r>
      <w:r w:rsidRPr="007573CE">
        <w:rPr>
          <w:rFonts w:ascii="Times New Roman" w:eastAsia="Times New Roman" w:hAnsi="Times New Roman" w:cs="Times New Roman"/>
          <w:color w:val="000000"/>
          <w:kern w:val="0"/>
          <w:sz w:val="26"/>
          <w:szCs w:val="26"/>
          <w:lang w:val="uk-UA" w:eastAsia="uk-UA" w:bidi="uk-UA"/>
        </w:rPr>
        <w:tab/>
        <w:t>160</w:t>
      </w:r>
    </w:p>
    <w:p w:rsidR="007573CE" w:rsidRPr="007573CE" w:rsidRDefault="007573CE" w:rsidP="007573CE">
      <w:pPr>
        <w:tabs>
          <w:tab w:val="clear" w:pos="709"/>
          <w:tab w:val="right" w:leader="dot" w:pos="933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25" w:tooltip="Current Document">
        <w:r w:rsidRPr="007573CE">
          <w:rPr>
            <w:rFonts w:ascii="Times New Roman" w:eastAsia="Times New Roman" w:hAnsi="Times New Roman" w:cs="Times New Roman"/>
            <w:color w:val="000000"/>
            <w:kern w:val="0"/>
            <w:sz w:val="26"/>
            <w:szCs w:val="26"/>
            <w:lang w:val="uk-UA" w:eastAsia="uk-UA" w:bidi="uk-UA"/>
          </w:rPr>
          <w:t>ВИСНОВКИ ДО РОЗДІЛУ ІІІ</w:t>
        </w:r>
        <w:r w:rsidRPr="007573CE">
          <w:rPr>
            <w:rFonts w:ascii="Times New Roman" w:eastAsia="Times New Roman" w:hAnsi="Times New Roman" w:cs="Times New Roman"/>
            <w:color w:val="000000"/>
            <w:kern w:val="0"/>
            <w:sz w:val="26"/>
            <w:szCs w:val="26"/>
            <w:lang w:val="uk-UA" w:eastAsia="uk-UA" w:bidi="uk-UA"/>
          </w:rPr>
          <w:tab/>
          <w:t>170</w:t>
        </w:r>
      </w:hyperlink>
    </w:p>
    <w:p w:rsidR="007573CE" w:rsidRPr="007573CE" w:rsidRDefault="007573CE" w:rsidP="007573CE">
      <w:pPr>
        <w:tabs>
          <w:tab w:val="clear" w:pos="709"/>
          <w:tab w:val="right" w:leader="dot" w:pos="933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26" w:tooltip="Current Document">
        <w:r w:rsidRPr="007573CE">
          <w:rPr>
            <w:rFonts w:ascii="Times New Roman" w:eastAsia="Times New Roman" w:hAnsi="Times New Roman" w:cs="Times New Roman"/>
            <w:color w:val="000000"/>
            <w:kern w:val="0"/>
            <w:sz w:val="26"/>
            <w:szCs w:val="26"/>
            <w:lang w:val="uk-UA" w:eastAsia="uk-UA" w:bidi="uk-UA"/>
          </w:rPr>
          <w:t>ВИСНОВКИ</w:t>
        </w:r>
        <w:r w:rsidRPr="007573CE">
          <w:rPr>
            <w:rFonts w:ascii="Times New Roman" w:eastAsia="Times New Roman" w:hAnsi="Times New Roman" w:cs="Times New Roman"/>
            <w:color w:val="000000"/>
            <w:kern w:val="0"/>
            <w:sz w:val="26"/>
            <w:szCs w:val="26"/>
            <w:lang w:val="uk-UA" w:eastAsia="uk-UA" w:bidi="uk-UA"/>
          </w:rPr>
          <w:tab/>
          <w:t>172</w:t>
        </w:r>
      </w:hyperlink>
    </w:p>
    <w:p w:rsidR="007573CE" w:rsidRPr="007573CE" w:rsidRDefault="007573CE" w:rsidP="007573CE">
      <w:pPr>
        <w:tabs>
          <w:tab w:val="clear" w:pos="709"/>
          <w:tab w:val="right" w:leader="dot" w:pos="933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27" w:tooltip="Current Document">
        <w:r w:rsidRPr="007573CE">
          <w:rPr>
            <w:rFonts w:ascii="Times New Roman" w:eastAsia="Times New Roman" w:hAnsi="Times New Roman" w:cs="Times New Roman"/>
            <w:color w:val="000000"/>
            <w:kern w:val="0"/>
            <w:sz w:val="26"/>
            <w:szCs w:val="26"/>
            <w:lang w:val="uk-UA" w:eastAsia="uk-UA" w:bidi="uk-UA"/>
          </w:rPr>
          <w:t>СПИСОК ВИКОРИСТАНИХ ДЖЕРЕЛ</w:t>
        </w:r>
        <w:r w:rsidRPr="007573CE">
          <w:rPr>
            <w:rFonts w:ascii="Times New Roman" w:eastAsia="Times New Roman" w:hAnsi="Times New Roman" w:cs="Times New Roman"/>
            <w:color w:val="000000"/>
            <w:kern w:val="0"/>
            <w:sz w:val="26"/>
            <w:szCs w:val="26"/>
            <w:lang w:val="uk-UA" w:eastAsia="uk-UA" w:bidi="uk-UA"/>
          </w:rPr>
          <w:tab/>
          <w:t>176</w:t>
        </w:r>
      </w:hyperlink>
      <w:r w:rsidRPr="007573CE">
        <w:rPr>
          <w:rFonts w:ascii="Times New Roman" w:eastAsia="Times New Roman" w:hAnsi="Times New Roman" w:cs="Times New Roman"/>
          <w:color w:val="000000"/>
          <w:kern w:val="0"/>
          <w:sz w:val="26"/>
          <w:szCs w:val="26"/>
          <w:lang w:val="uk-UA" w:eastAsia="uk-UA" w:bidi="uk-UA"/>
        </w:rPr>
        <w:fldChar w:fldCharType="end"/>
      </w:r>
    </w:p>
    <w:p w:rsidR="007573CE" w:rsidRPr="007573CE" w:rsidRDefault="007573CE" w:rsidP="007573CE">
      <w:pPr>
        <w:tabs>
          <w:tab w:val="clear" w:pos="709"/>
          <w:tab w:val="left" w:leader="dot" w:pos="884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pict>
          <v:shapetype id="_x0000_t202" coordsize="21600,21600" o:spt="202" path="m,l,21600r21600,l21600,xe">
            <v:stroke joinstyle="miter"/>
            <v:path gradientshapeok="t" o:connecttype="rect"/>
          </v:shapetype>
          <v:shape id="_x0000_s1477" type="#_x0000_t202" style="position:absolute;left:0;text-align:left;margin-left:449.05pt;margin-top:-.8pt;width:21.85pt;height:15.9pt;z-index:-251656192;mso-wrap-distance-left:5pt;mso-wrap-distance-right:5pt;mso-position-horizontal-relative:margin" filled="f" stroked="f">
            <v:textbox style="mso-fit-shape-to-text:t" inset="0,0,0,0">
              <w:txbxContent>
                <w:p w:rsidR="007573CE" w:rsidRDefault="007573CE" w:rsidP="007573CE">
                  <w:pPr>
                    <w:pStyle w:val="2fff8"/>
                    <w:shd w:val="clear" w:color="auto" w:fill="auto"/>
                    <w:spacing w:after="0" w:line="260" w:lineRule="exact"/>
                    <w:ind w:firstLine="0"/>
                    <w:jc w:val="left"/>
                  </w:pPr>
                  <w:r>
                    <w:rPr>
                      <w:rStyle w:val="2Exact"/>
                    </w:rPr>
                    <w:t></w:t>
                  </w:r>
                  <w:r>
                    <w:rPr>
                      <w:rStyle w:val="2Exact"/>
                    </w:rPr>
                    <w:t></w:t>
                  </w:r>
                  <w:r>
                    <w:rPr>
                      <w:rStyle w:val="2Exact"/>
                    </w:rPr>
                    <w:t></w:t>
                  </w:r>
                </w:p>
              </w:txbxContent>
            </v:textbox>
            <w10:wrap type="square" side="left" anchorx="margin"/>
          </v:shape>
        </w:pict>
      </w:r>
      <w:r w:rsidRPr="007573CE">
        <w:rPr>
          <w:rFonts w:ascii="Times New Roman" w:eastAsia="Times New Roman" w:hAnsi="Times New Roman" w:cs="Times New Roman"/>
          <w:color w:val="000000"/>
          <w:kern w:val="0"/>
          <w:sz w:val="26"/>
          <w:szCs w:val="26"/>
          <w:lang w:val="uk-UA" w:eastAsia="uk-UA" w:bidi="uk-UA"/>
        </w:rPr>
        <w:t>ДОДАТКИ</w:t>
      </w:r>
      <w:r w:rsidRPr="007573CE">
        <w:rPr>
          <w:rFonts w:ascii="Times New Roman" w:eastAsia="Times New Roman" w:hAnsi="Times New Roman" w:cs="Times New Roman"/>
          <w:color w:val="000000"/>
          <w:kern w:val="0"/>
          <w:sz w:val="26"/>
          <w:szCs w:val="26"/>
          <w:lang w:val="uk-UA" w:eastAsia="uk-UA" w:bidi="uk-UA"/>
        </w:rPr>
        <w:tab/>
      </w:r>
      <w:r w:rsidRPr="007573CE">
        <w:rPr>
          <w:rFonts w:ascii="Times New Roman" w:eastAsia="Times New Roman" w:hAnsi="Times New Roman" w:cs="Times New Roman"/>
          <w:color w:val="000000"/>
          <w:kern w:val="0"/>
          <w:sz w:val="26"/>
          <w:szCs w:val="26"/>
          <w:lang w:val="uk-UA" w:eastAsia="uk-UA" w:bidi="uk-UA"/>
        </w:rPr>
        <w:br w:type="page"/>
      </w:r>
    </w:p>
    <w:p w:rsidR="007573CE" w:rsidRPr="007573CE" w:rsidRDefault="007573CE" w:rsidP="007573CE">
      <w:pPr>
        <w:tabs>
          <w:tab w:val="clear" w:pos="709"/>
        </w:tabs>
        <w:suppressAutoHyphens w:val="0"/>
        <w:spacing w:after="1009" w:line="320" w:lineRule="exact"/>
        <w:ind w:left="4500" w:firstLine="0"/>
        <w:jc w:val="left"/>
        <w:rPr>
          <w:rFonts w:ascii="Times New Roman" w:eastAsia="Times New Roman" w:hAnsi="Times New Roman" w:cs="Times New Roman"/>
          <w:b/>
          <w:bCs/>
          <w:color w:val="000000"/>
          <w:kern w:val="0"/>
          <w:sz w:val="32"/>
          <w:szCs w:val="32"/>
          <w:lang w:val="uk-UA" w:eastAsia="uk-UA" w:bidi="uk-UA"/>
        </w:rPr>
      </w:pPr>
      <w:r w:rsidRPr="007573CE">
        <w:rPr>
          <w:rFonts w:ascii="Times New Roman" w:eastAsia="Times New Roman" w:hAnsi="Times New Roman" w:cs="Times New Roman"/>
          <w:b/>
          <w:bCs/>
          <w:color w:val="000000"/>
          <w:kern w:val="0"/>
          <w:sz w:val="32"/>
          <w:szCs w:val="32"/>
          <w:lang w:val="uk-UA" w:eastAsia="uk-UA" w:bidi="uk-UA"/>
        </w:rPr>
        <w:t>ВСТУП</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b/>
          <w:bCs/>
          <w:color w:val="000000"/>
          <w:kern w:val="0"/>
          <w:sz w:val="26"/>
          <w:szCs w:val="26"/>
          <w:lang w:val="uk-UA" w:eastAsia="uk-UA" w:bidi="uk-UA"/>
        </w:rPr>
        <w:t xml:space="preserve">Актуальність теми. </w:t>
      </w:r>
      <w:r w:rsidRPr="007573CE">
        <w:rPr>
          <w:rFonts w:ascii="Times New Roman" w:eastAsia="Times New Roman" w:hAnsi="Times New Roman" w:cs="Times New Roman"/>
          <w:color w:val="000000"/>
          <w:kern w:val="0"/>
          <w:sz w:val="26"/>
          <w:szCs w:val="26"/>
          <w:lang w:val="uk-UA" w:eastAsia="uk-UA" w:bidi="uk-UA"/>
        </w:rPr>
        <w:t>Формування ринкових відносин визначає місце страхування в економічній системі України як одного з основних фінансових інструментів захисту суспільства від різноманітних ризиків і небезпек. Ефективні страхові відносини стимулюють ділову активність та впевненість суб’єктів ринку, покращують інвестиційний клімат, є важливими умовами стабільності та економічного зростання в країні. Економіка всіх країн світу характеризується високим рівнем невизначеності, а в кризових умовах - високим рівнем ризикованості господарської діяльності. Страхування є одним з дієвих способів фінансування ризиків суб’єктів господарювання, інструментом екологічного та соціального захисту, оскільки є більш гнучким і адресним у порівнянні з можливостями державних фінансів.</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Соціально-економічні процеси в Україні, які постійно супроводжуються змінами законодавства та кризовими явищами, значна кількість страхових компаній має труднощі з підтримки своєї фінансової стійкості. Стійкість страхових компаній визначає фінансову стабільність як окремих суб’єктів, так і страхового ринку України в цілому, і тому вимоги до її забезпечення постійно зростають. Посилення фінансової стійкості страховиків обумовить наближення до стандартів діяльності страхових компаній в розвинених економіках, що в свою чергу буде більшою мірою сприяти залученню іноземних інвестицій та розвитку фінансового ринку загалом.</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Показники діяльності значної частини страхових компаній України свідчать про наявну фінансову нестійкість, що викликано не стільки дефіцитом фінансових ресурсів, скільки низьким рівнем управління їх грошовими потоками. Такий стан справ перешкоджає подальшому ефективному розвитку страхового ринку України, чинить негативний вплив на всі сфери вітчизняної</w:t>
      </w:r>
    </w:p>
    <w:p w:rsidR="007573CE" w:rsidRPr="007573CE" w:rsidRDefault="007573CE" w:rsidP="007573CE">
      <w:pPr>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економіки.</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 xml:space="preserve">Значний внесок у дослідження питань фінансової стійкості страхових компаній здійснили іноземні вчені: М.М. </w:t>
      </w:r>
      <w:r w:rsidRPr="007573CE">
        <w:rPr>
          <w:rFonts w:ascii="Times New Roman" w:eastAsia="Times New Roman" w:hAnsi="Times New Roman" w:cs="Times New Roman"/>
          <w:color w:val="000000"/>
          <w:kern w:val="0"/>
          <w:sz w:val="26"/>
          <w:szCs w:val="26"/>
          <w:lang w:val="uk-UA" w:eastAsia="ru-RU" w:bidi="ru-RU"/>
        </w:rPr>
        <w:t xml:space="preserve">Александрова, </w:t>
      </w:r>
      <w:r w:rsidRPr="007573CE">
        <w:rPr>
          <w:rFonts w:ascii="Times New Roman" w:eastAsia="Times New Roman" w:hAnsi="Times New Roman" w:cs="Times New Roman"/>
          <w:color w:val="000000"/>
          <w:kern w:val="0"/>
          <w:sz w:val="26"/>
          <w:szCs w:val="26"/>
          <w:lang w:val="uk-UA" w:eastAsia="uk-UA" w:bidi="uk-UA"/>
        </w:rPr>
        <w:t xml:space="preserve">Д. </w:t>
      </w:r>
      <w:r w:rsidRPr="007573CE">
        <w:rPr>
          <w:rFonts w:ascii="Times New Roman" w:eastAsia="Times New Roman" w:hAnsi="Times New Roman" w:cs="Times New Roman"/>
          <w:color w:val="000000"/>
          <w:kern w:val="0"/>
          <w:sz w:val="26"/>
          <w:szCs w:val="26"/>
          <w:lang w:val="uk-UA" w:eastAsia="ru-RU" w:bidi="ru-RU"/>
        </w:rPr>
        <w:t xml:space="preserve">Бланд, </w:t>
      </w:r>
      <w:r w:rsidRPr="007573CE">
        <w:rPr>
          <w:rFonts w:ascii="Times New Roman" w:eastAsia="Times New Roman" w:hAnsi="Times New Roman" w:cs="Times New Roman"/>
          <w:color w:val="000000"/>
          <w:kern w:val="0"/>
          <w:sz w:val="26"/>
          <w:szCs w:val="26"/>
          <w:lang w:val="uk-UA" w:eastAsia="uk-UA" w:bidi="uk-UA"/>
        </w:rPr>
        <w:t xml:space="preserve">Л.О. Орланюк-Малицька, А.В. Палкін, А. Сандстрем, В.А. </w:t>
      </w:r>
      <w:r w:rsidRPr="007573CE">
        <w:rPr>
          <w:rFonts w:ascii="Times New Roman" w:eastAsia="Times New Roman" w:hAnsi="Times New Roman" w:cs="Times New Roman"/>
          <w:color w:val="000000"/>
          <w:kern w:val="0"/>
          <w:sz w:val="26"/>
          <w:szCs w:val="26"/>
          <w:lang w:val="uk-UA" w:eastAsia="ru-RU" w:bidi="ru-RU"/>
        </w:rPr>
        <w:t xml:space="preserve">Сухов, С. Томас, </w:t>
      </w:r>
      <w:r w:rsidRPr="007573CE">
        <w:rPr>
          <w:rFonts w:ascii="Times New Roman" w:eastAsia="Times New Roman" w:hAnsi="Times New Roman" w:cs="Times New Roman"/>
          <w:color w:val="000000"/>
          <w:kern w:val="0"/>
          <w:sz w:val="26"/>
          <w:szCs w:val="26"/>
          <w:lang w:val="uk-UA" w:eastAsia="uk-UA" w:bidi="uk-UA"/>
        </w:rPr>
        <w:t>Ю.Н. Тронін та інші.</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 xml:space="preserve">Теоретичні та практичні аспекти забезпечення фінансової стійкості страхових компаній висвітлили у своїх роботах такі українські науковці: Л.М. Алексєєнко, В.Д. </w:t>
      </w:r>
      <w:r w:rsidRPr="007573CE">
        <w:rPr>
          <w:rFonts w:ascii="Times New Roman" w:eastAsia="Times New Roman" w:hAnsi="Times New Roman" w:cs="Times New Roman"/>
          <w:color w:val="000000"/>
          <w:kern w:val="0"/>
          <w:sz w:val="26"/>
          <w:szCs w:val="26"/>
          <w:lang w:val="uk-UA" w:eastAsia="ru-RU" w:bidi="ru-RU"/>
        </w:rPr>
        <w:t xml:space="preserve">Базилевич, </w:t>
      </w:r>
      <w:r w:rsidRPr="007573CE">
        <w:rPr>
          <w:rFonts w:ascii="Times New Roman" w:eastAsia="Times New Roman" w:hAnsi="Times New Roman" w:cs="Times New Roman"/>
          <w:color w:val="000000"/>
          <w:kern w:val="0"/>
          <w:sz w:val="26"/>
          <w:szCs w:val="26"/>
          <w:lang w:val="uk-UA" w:eastAsia="uk-UA" w:bidi="uk-UA"/>
        </w:rPr>
        <w:t xml:space="preserve">О.І. Барановський, В.Д. Бігдаш, З.С. Варналій, Н.М. Внукова, Н.Б. Грищенко, Н.М. Добош, О.С. Журавка, О.Д. </w:t>
      </w:r>
      <w:r w:rsidRPr="007573CE">
        <w:rPr>
          <w:rFonts w:ascii="Times New Roman" w:eastAsia="Times New Roman" w:hAnsi="Times New Roman" w:cs="Times New Roman"/>
          <w:color w:val="000000"/>
          <w:kern w:val="0"/>
          <w:sz w:val="26"/>
          <w:szCs w:val="26"/>
          <w:lang w:val="uk-UA" w:eastAsia="ru-RU" w:bidi="ru-RU"/>
        </w:rPr>
        <w:t xml:space="preserve">Заруба, </w:t>
      </w:r>
      <w:r w:rsidRPr="007573CE">
        <w:rPr>
          <w:rFonts w:ascii="Times New Roman" w:eastAsia="Times New Roman" w:hAnsi="Times New Roman" w:cs="Times New Roman"/>
          <w:color w:val="000000"/>
          <w:kern w:val="0"/>
          <w:sz w:val="26"/>
          <w:szCs w:val="26"/>
          <w:lang w:val="uk-UA" w:eastAsia="uk-UA" w:bidi="uk-UA"/>
        </w:rPr>
        <w:t xml:space="preserve">О.М. Залєтов, О.В. Кнейслер, Н.Г. Нагайчук, О.П. Овсак, В.М. Олійник, С.С. Осадець, Р.В. Пікус, Н.В. Приказюк, Н.В. </w:t>
      </w:r>
      <w:r w:rsidRPr="007573CE">
        <w:rPr>
          <w:rFonts w:ascii="Times New Roman" w:eastAsia="Times New Roman" w:hAnsi="Times New Roman" w:cs="Times New Roman"/>
          <w:color w:val="000000"/>
          <w:kern w:val="0"/>
          <w:sz w:val="26"/>
          <w:szCs w:val="26"/>
          <w:lang w:val="uk-UA" w:eastAsia="ru-RU" w:bidi="ru-RU"/>
        </w:rPr>
        <w:t xml:space="preserve">Ткаченко, </w:t>
      </w:r>
      <w:r w:rsidRPr="007573CE">
        <w:rPr>
          <w:rFonts w:ascii="Times New Roman" w:eastAsia="Times New Roman" w:hAnsi="Times New Roman" w:cs="Times New Roman"/>
          <w:color w:val="000000"/>
          <w:kern w:val="0"/>
          <w:sz w:val="26"/>
          <w:szCs w:val="26"/>
          <w:lang w:val="uk-UA" w:eastAsia="uk-UA" w:bidi="uk-UA"/>
        </w:rPr>
        <w:t>О.Ф. Фурман, Л.В. Шірінян та інші.</w:t>
      </w:r>
    </w:p>
    <w:p w:rsidR="007573CE" w:rsidRPr="007573CE" w:rsidRDefault="007573CE" w:rsidP="007573CE">
      <w:pPr>
        <w:tabs>
          <w:tab w:val="clear" w:pos="709"/>
        </w:tabs>
        <w:suppressAutoHyphens w:val="0"/>
        <w:spacing w:after="0" w:line="480" w:lineRule="exact"/>
        <w:ind w:firstLine="60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Враховуючи наукові напрацювання зарубіжних та вітчизняних вчених у дослідженні проблематики фінансової стійкості страхової компанії, слід зазначити, що велика кількість питань все ще залишається невисвітленими або окреслені лише частково. Так, потребують значного переосмислення методичні підходи до визначення змісту фінансової стійкості страхової компанії в умовах посилення фінансової нестабільності. Нагальним є питання забезпечення фінансової стійкості страховика, а також опрацювання новітніх підходів до її оцінки та прогнозування. Особлива значущість розв’язання цих питань, недостатня їх наукова та прикладна розробка зумовили вибір теми дисертаційної роботи, визначили її мету та завдання.</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b/>
          <w:bCs/>
          <w:color w:val="000000"/>
          <w:kern w:val="0"/>
          <w:sz w:val="26"/>
          <w:szCs w:val="26"/>
          <w:lang w:val="uk-UA" w:eastAsia="uk-UA" w:bidi="uk-UA"/>
        </w:rPr>
        <w:t xml:space="preserve">Зв’язок роботи з науковими програмами, планами, темами. </w:t>
      </w:r>
      <w:r w:rsidRPr="007573CE">
        <w:rPr>
          <w:rFonts w:ascii="Times New Roman" w:eastAsia="Times New Roman" w:hAnsi="Times New Roman" w:cs="Times New Roman"/>
          <w:color w:val="000000"/>
          <w:kern w:val="0"/>
          <w:sz w:val="26"/>
          <w:szCs w:val="26"/>
          <w:lang w:val="uk-UA" w:eastAsia="uk-UA" w:bidi="uk-UA"/>
        </w:rPr>
        <w:t>Дисертаційна робота виконувалась у межах комплексної науково-дослідної держбюджетної теми економічного факультету Київського національного університету імені Тараса Шевченка «Напрямки модернізації економіки України: секторальні особливості, протиріччя, ризики» (номер державної реєстрації 011</w:t>
      </w:r>
      <w:r w:rsidRPr="007573CE">
        <w:rPr>
          <w:rFonts w:ascii="Times New Roman" w:eastAsia="Times New Roman" w:hAnsi="Times New Roman" w:cs="Times New Roman"/>
          <w:color w:val="000000"/>
          <w:kern w:val="0"/>
          <w:sz w:val="26"/>
          <w:szCs w:val="26"/>
          <w:lang w:val="uk-UA" w:eastAsia="en-US" w:bidi="en-US"/>
        </w:rPr>
        <w:t>1</w:t>
      </w:r>
      <w:r w:rsidRPr="007573CE">
        <w:rPr>
          <w:rFonts w:ascii="Times New Roman" w:eastAsia="Times New Roman" w:hAnsi="Times New Roman" w:cs="Times New Roman"/>
          <w:color w:val="000000"/>
          <w:kern w:val="0"/>
          <w:sz w:val="26"/>
          <w:szCs w:val="26"/>
          <w:lang w:val="en-US" w:eastAsia="en-US" w:bidi="en-US"/>
        </w:rPr>
        <w:t>U</w:t>
      </w:r>
      <w:r w:rsidRPr="007573CE">
        <w:rPr>
          <w:rFonts w:ascii="Times New Roman" w:eastAsia="Times New Roman" w:hAnsi="Times New Roman" w:cs="Times New Roman"/>
          <w:color w:val="000000"/>
          <w:kern w:val="0"/>
          <w:sz w:val="26"/>
          <w:szCs w:val="26"/>
          <w:lang w:val="uk-UA" w:eastAsia="en-US" w:bidi="en-US"/>
        </w:rPr>
        <w:t xml:space="preserve">006456), </w:t>
      </w:r>
      <w:r w:rsidRPr="007573CE">
        <w:rPr>
          <w:rFonts w:ascii="Times New Roman" w:eastAsia="Times New Roman" w:hAnsi="Times New Roman" w:cs="Times New Roman"/>
          <w:color w:val="000000"/>
          <w:kern w:val="0"/>
          <w:sz w:val="26"/>
          <w:szCs w:val="26"/>
          <w:lang w:val="uk-UA" w:eastAsia="uk-UA" w:bidi="uk-UA"/>
        </w:rPr>
        <w:t xml:space="preserve">підрозділ «Модернізація економіки України на засадах сталого соціально-економічного розвитку: закономірності, протиріччя, ризики» (№ 11БФ040-01); комплексної науково-дослідної роботи Київського національного університету імені </w:t>
      </w:r>
      <w:r w:rsidRPr="007573CE">
        <w:rPr>
          <w:rFonts w:ascii="Times New Roman" w:eastAsia="Times New Roman" w:hAnsi="Times New Roman" w:cs="Times New Roman"/>
          <w:color w:val="000000"/>
          <w:kern w:val="0"/>
          <w:sz w:val="26"/>
          <w:szCs w:val="26"/>
          <w:lang w:val="uk-UA" w:eastAsia="ru-RU" w:bidi="ru-RU"/>
        </w:rPr>
        <w:t xml:space="preserve">Тараса </w:t>
      </w:r>
      <w:r w:rsidRPr="007573CE">
        <w:rPr>
          <w:rFonts w:ascii="Times New Roman" w:eastAsia="Times New Roman" w:hAnsi="Times New Roman" w:cs="Times New Roman"/>
          <w:color w:val="000000"/>
          <w:kern w:val="0"/>
          <w:sz w:val="26"/>
          <w:szCs w:val="26"/>
          <w:lang w:val="uk-UA" w:eastAsia="uk-UA" w:bidi="uk-UA"/>
        </w:rPr>
        <w:t>Шевченка в межах держбюджетної теми кафедри страхування та ризик-менеджменту «Теоретико-методологічні засади страхування в сучасних соціально-економічних умовах» (2015 р.), а також у межах комплексної наукової програми університету «Модернізація суспільного розвитку України в умовах світових процесів глобалізації», теми кафедри страхування, банківської справи та ризик-менеджменту «Європейський вектор розвитку страхового ринку України» (2016-2017 рр., № 16КФ040-11). В межах теми, автором досліджено теоретичні підходи та розроблено практичні рекомендації щодо оцінки та забезпечення фінансової стійкості страхових компаній України для підтримки стабільного розвитку страхового ринку.</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b/>
          <w:bCs/>
          <w:color w:val="000000"/>
          <w:kern w:val="0"/>
          <w:sz w:val="26"/>
          <w:szCs w:val="26"/>
          <w:lang w:val="uk-UA" w:eastAsia="uk-UA" w:bidi="uk-UA"/>
        </w:rPr>
        <w:t xml:space="preserve">Мета і завдання дослідження. </w:t>
      </w:r>
      <w:r w:rsidRPr="007573CE">
        <w:rPr>
          <w:rFonts w:ascii="Times New Roman" w:eastAsia="Times New Roman" w:hAnsi="Times New Roman" w:cs="Times New Roman"/>
          <w:color w:val="000000"/>
          <w:kern w:val="0"/>
          <w:sz w:val="26"/>
          <w:szCs w:val="26"/>
          <w:lang w:val="uk-UA" w:eastAsia="uk-UA" w:bidi="uk-UA"/>
        </w:rPr>
        <w:t>Метою дисертаційної роботи є удосконалення теоретичних підходів та розроблення практичних рекомендацій щодо забезпечення фінансової стійкості страхових компаній України для стабільного функціонування страхового ринку в умовах загострення кризових явищ в національній економіці.</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Відповідно до поставленої мети в роботі були визначені та вирішені такі завдання:</w:t>
      </w:r>
    </w:p>
    <w:p w:rsidR="007573CE" w:rsidRPr="007573CE" w:rsidRDefault="007573CE" w:rsidP="007573CE">
      <w:pPr>
        <w:numPr>
          <w:ilvl w:val="0"/>
          <w:numId w:val="40"/>
        </w:numPr>
        <w:tabs>
          <w:tab w:val="clear" w:pos="709"/>
        </w:tabs>
        <w:suppressAutoHyphens w:val="0"/>
        <w:spacing w:after="0" w:line="480" w:lineRule="exact"/>
        <w:ind w:firstLine="46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удосконалити визначення поняття «фінансова стійкість страхової компанії»;</w:t>
      </w:r>
    </w:p>
    <w:p w:rsidR="007573CE" w:rsidRPr="007573CE" w:rsidRDefault="007573CE" w:rsidP="007573CE">
      <w:pPr>
        <w:numPr>
          <w:ilvl w:val="0"/>
          <w:numId w:val="40"/>
        </w:numPr>
        <w:tabs>
          <w:tab w:val="clear" w:pos="709"/>
        </w:tabs>
        <w:suppressAutoHyphens w:val="0"/>
        <w:spacing w:after="0" w:line="480" w:lineRule="exact"/>
        <w:ind w:firstLine="46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визначити основні джерела забезпечення фінансової стійкості страхової компанії;</w:t>
      </w:r>
    </w:p>
    <w:p w:rsidR="007573CE" w:rsidRPr="007573CE" w:rsidRDefault="007573CE" w:rsidP="007573CE">
      <w:pPr>
        <w:numPr>
          <w:ilvl w:val="0"/>
          <w:numId w:val="40"/>
        </w:numPr>
        <w:tabs>
          <w:tab w:val="clear" w:pos="709"/>
        </w:tabs>
        <w:suppressAutoHyphens w:val="0"/>
        <w:spacing w:after="0" w:line="480" w:lineRule="exact"/>
        <w:ind w:firstLine="46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класифікувати чинники впливу на фінансову стійкість страхової компанії;</w:t>
      </w:r>
    </w:p>
    <w:p w:rsidR="007573CE" w:rsidRPr="007573CE" w:rsidRDefault="007573CE" w:rsidP="007573CE">
      <w:pPr>
        <w:numPr>
          <w:ilvl w:val="0"/>
          <w:numId w:val="40"/>
        </w:numPr>
        <w:tabs>
          <w:tab w:val="clear" w:pos="709"/>
        </w:tabs>
        <w:suppressAutoHyphens w:val="0"/>
        <w:spacing w:after="0" w:line="480" w:lineRule="exact"/>
        <w:ind w:firstLine="46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виявити сутність компонентів управління фінансовою стійкістю страхової компанії;</w:t>
      </w:r>
    </w:p>
    <w:p w:rsidR="007573CE" w:rsidRPr="007573CE" w:rsidRDefault="007573CE" w:rsidP="007573CE">
      <w:pPr>
        <w:numPr>
          <w:ilvl w:val="0"/>
          <w:numId w:val="40"/>
        </w:numPr>
        <w:tabs>
          <w:tab w:val="clear" w:pos="709"/>
        </w:tabs>
        <w:suppressAutoHyphens w:val="0"/>
        <w:spacing w:after="0" w:line="480" w:lineRule="exact"/>
        <w:ind w:firstLine="46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розкрити методичні підходи до оцінки фінансової стійкості страхових компаній;</w:t>
      </w:r>
    </w:p>
    <w:p w:rsidR="007573CE" w:rsidRPr="007573CE" w:rsidRDefault="007573CE" w:rsidP="007573CE">
      <w:pPr>
        <w:numPr>
          <w:ilvl w:val="0"/>
          <w:numId w:val="40"/>
        </w:numPr>
        <w:tabs>
          <w:tab w:val="clear" w:pos="709"/>
        </w:tabs>
        <w:suppressAutoHyphens w:val="0"/>
        <w:spacing w:after="0" w:line="480" w:lineRule="exact"/>
        <w:ind w:firstLine="46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здійснити оцінку фінансової стійкості страхових компаній на українському страховому ринку з використанням тестів раннього попередження;</w:t>
      </w:r>
    </w:p>
    <w:p w:rsidR="007573CE" w:rsidRPr="007573CE" w:rsidRDefault="007573CE" w:rsidP="007573CE">
      <w:pPr>
        <w:numPr>
          <w:ilvl w:val="0"/>
          <w:numId w:val="40"/>
        </w:numPr>
        <w:tabs>
          <w:tab w:val="clear" w:pos="709"/>
        </w:tabs>
        <w:suppressAutoHyphens w:val="0"/>
        <w:spacing w:after="0" w:line="480" w:lineRule="exact"/>
        <w:ind w:firstLine="46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розробити модель управління фінансовою стійкістю страхової компанії та виокремити її особливості з урахуванням ризиків;</w:t>
      </w:r>
    </w:p>
    <w:p w:rsidR="007573CE" w:rsidRPr="007573CE" w:rsidRDefault="007573CE" w:rsidP="007573CE">
      <w:pPr>
        <w:numPr>
          <w:ilvl w:val="0"/>
          <w:numId w:val="40"/>
        </w:numPr>
        <w:tabs>
          <w:tab w:val="clear" w:pos="709"/>
        </w:tabs>
        <w:suppressAutoHyphens w:val="0"/>
        <w:spacing w:after="0" w:line="480" w:lineRule="exact"/>
        <w:ind w:firstLine="46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визначити ефекти рейтингування страхових компаній за фінансовою стійкістю;</w:t>
      </w:r>
    </w:p>
    <w:p w:rsidR="007573CE" w:rsidRPr="007573CE" w:rsidRDefault="007573CE" w:rsidP="007573CE">
      <w:pPr>
        <w:numPr>
          <w:ilvl w:val="0"/>
          <w:numId w:val="40"/>
        </w:numPr>
        <w:tabs>
          <w:tab w:val="clear" w:pos="709"/>
        </w:tabs>
        <w:suppressAutoHyphens w:val="0"/>
        <w:spacing w:after="0" w:line="480" w:lineRule="exact"/>
        <w:ind w:firstLine="46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розробити методичні рекомендації щодо прогнозування фінансової стійкості страхових компаній в Україні.</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i/>
          <w:iCs/>
          <w:color w:val="000000"/>
          <w:kern w:val="0"/>
          <w:sz w:val="26"/>
          <w:szCs w:val="26"/>
          <w:lang w:val="uk-UA" w:eastAsia="uk-UA" w:bidi="uk-UA"/>
        </w:rPr>
        <w:t>Об’єктом дослідження</w:t>
      </w:r>
      <w:r w:rsidRPr="007573CE">
        <w:rPr>
          <w:rFonts w:ascii="Times New Roman" w:eastAsia="Times New Roman" w:hAnsi="Times New Roman" w:cs="Times New Roman"/>
          <w:color w:val="000000"/>
          <w:kern w:val="0"/>
          <w:sz w:val="26"/>
          <w:szCs w:val="26"/>
          <w:lang w:val="uk-UA" w:eastAsia="uk-UA" w:bidi="uk-UA"/>
        </w:rPr>
        <w:t xml:space="preserve"> є ринкова діяльність страхових компаній в умовах загострення кризових явищ.</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i/>
          <w:iCs/>
          <w:color w:val="000000"/>
          <w:kern w:val="0"/>
          <w:sz w:val="26"/>
          <w:szCs w:val="26"/>
          <w:lang w:val="uk-UA" w:eastAsia="uk-UA" w:bidi="uk-UA"/>
        </w:rPr>
        <w:t>Предметом дослідження</w:t>
      </w:r>
      <w:r w:rsidRPr="007573CE">
        <w:rPr>
          <w:rFonts w:ascii="Times New Roman" w:eastAsia="Times New Roman" w:hAnsi="Times New Roman" w:cs="Times New Roman"/>
          <w:color w:val="000000"/>
          <w:kern w:val="0"/>
          <w:sz w:val="26"/>
          <w:szCs w:val="26"/>
          <w:lang w:val="uk-UA" w:eastAsia="uk-UA" w:bidi="uk-UA"/>
        </w:rPr>
        <w:t xml:space="preserve"> є теоретичні, методичні та практичні аспекти забезпечення фінансової стійкості страхових компаній в Україні.</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b/>
          <w:bCs/>
          <w:color w:val="000000"/>
          <w:kern w:val="0"/>
          <w:sz w:val="26"/>
          <w:szCs w:val="26"/>
          <w:lang w:val="uk-UA" w:eastAsia="uk-UA" w:bidi="uk-UA"/>
        </w:rPr>
        <w:t xml:space="preserve">Методи дослідження. </w:t>
      </w:r>
      <w:r w:rsidRPr="007573CE">
        <w:rPr>
          <w:rFonts w:ascii="Times New Roman" w:eastAsia="Times New Roman" w:hAnsi="Times New Roman" w:cs="Times New Roman"/>
          <w:color w:val="000000"/>
          <w:kern w:val="0"/>
          <w:sz w:val="26"/>
          <w:szCs w:val="26"/>
          <w:lang w:val="uk-UA" w:eastAsia="uk-UA" w:bidi="uk-UA"/>
        </w:rPr>
        <w:t>В основі дисертаційної роботи лежить діалектичний метод, що зумовлює вивчення фінансової стійкості у взаємозв’язку з іншими економічними явищами і безперервному розвитку. У процесі дослідження також широко застосовувалися наступні методи дослідження: метод критичного аналізу літературних джерел - при дослідженні категорії «фінансова стійкість страхової компанії»; логічний та порівняльний аналіз - в процесі дослідження підходів до класифікації чинників впливу на фінансову стійкість страховика та в процесі аналізу груп показників для оцінки фінансової стійкості; узагальнення фактичних даних і статистична обробка даних - при дослідженні сучасного стану розвитку страхових компаній в Україні; метод систематизації та метод експертних оцінок - при побудові інтегральної оцінки фінансової стійкості з метою рейтингування страхових компаній.</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i/>
          <w:iCs/>
          <w:color w:val="000000"/>
          <w:kern w:val="0"/>
          <w:sz w:val="26"/>
          <w:szCs w:val="26"/>
          <w:lang w:val="uk-UA" w:eastAsia="uk-UA" w:bidi="uk-UA"/>
        </w:rPr>
        <w:t>Інформаційну базу дослідження</w:t>
      </w:r>
      <w:r w:rsidRPr="007573CE">
        <w:rPr>
          <w:rFonts w:ascii="Times New Roman" w:eastAsia="Times New Roman" w:hAnsi="Times New Roman" w:cs="Times New Roman"/>
          <w:color w:val="000000"/>
          <w:kern w:val="0"/>
          <w:sz w:val="26"/>
          <w:szCs w:val="26"/>
          <w:lang w:val="uk-UA" w:eastAsia="uk-UA" w:bidi="uk-UA"/>
        </w:rPr>
        <w:t xml:space="preserve"> становлять нормативно-правові і законодавчі акти з питань регулювання діяльності страхових компаній України, статистичні матеріали Національної комісії, що здійснює регулювання у сфері ринків фінансових послуг, звітні дані страхових компаній, нормативні документи міжнародних організацій у сфері страхування, Директиви Європейського Парламенту та Ради Європи, документи Міжнародної асоціації страхових наглядачів </w:t>
      </w:r>
      <w:r w:rsidRPr="007573CE">
        <w:rPr>
          <w:rFonts w:ascii="Times New Roman" w:eastAsia="Times New Roman" w:hAnsi="Times New Roman" w:cs="Times New Roman"/>
          <w:color w:val="000000"/>
          <w:kern w:val="0"/>
          <w:sz w:val="26"/>
          <w:szCs w:val="26"/>
          <w:lang w:val="uk-UA" w:eastAsia="en-US" w:bidi="en-US"/>
        </w:rPr>
        <w:t>(</w:t>
      </w:r>
      <w:r w:rsidRPr="007573CE">
        <w:rPr>
          <w:rFonts w:ascii="Times New Roman" w:eastAsia="Times New Roman" w:hAnsi="Times New Roman" w:cs="Times New Roman"/>
          <w:color w:val="000000"/>
          <w:kern w:val="0"/>
          <w:sz w:val="26"/>
          <w:szCs w:val="26"/>
          <w:lang w:val="en-US" w:eastAsia="en-US" w:bidi="en-US"/>
        </w:rPr>
        <w:t>IAIS</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uk-UA" w:eastAsia="uk-UA" w:bidi="uk-UA"/>
        </w:rPr>
        <w:t xml:space="preserve">та Регулятора з нагляду у сферах страхування та пенсійного забезпечення </w:t>
      </w:r>
      <w:r w:rsidRPr="007573CE">
        <w:rPr>
          <w:rFonts w:ascii="Times New Roman" w:eastAsia="Times New Roman" w:hAnsi="Times New Roman" w:cs="Times New Roman"/>
          <w:color w:val="000000"/>
          <w:kern w:val="0"/>
          <w:sz w:val="26"/>
          <w:szCs w:val="26"/>
          <w:lang w:val="uk-UA" w:eastAsia="en-US" w:bidi="en-US"/>
        </w:rPr>
        <w:t>(</w:t>
      </w:r>
      <w:r w:rsidRPr="007573CE">
        <w:rPr>
          <w:rFonts w:ascii="Times New Roman" w:eastAsia="Times New Roman" w:hAnsi="Times New Roman" w:cs="Times New Roman"/>
          <w:color w:val="000000"/>
          <w:kern w:val="0"/>
          <w:sz w:val="26"/>
          <w:szCs w:val="26"/>
          <w:lang w:val="en-US" w:eastAsia="en-US" w:bidi="en-US"/>
        </w:rPr>
        <w:t>EIOPA</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uk-UA" w:eastAsia="uk-UA" w:bidi="uk-UA"/>
        </w:rPr>
        <w:t>а також українська та іноземна монографічна і спеціалізована періодична література.</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b/>
          <w:bCs/>
          <w:color w:val="000000"/>
          <w:kern w:val="0"/>
          <w:sz w:val="26"/>
          <w:szCs w:val="26"/>
          <w:lang w:val="uk-UA" w:eastAsia="uk-UA" w:bidi="uk-UA"/>
        </w:rPr>
        <w:t xml:space="preserve">Наукова новизна одержаних результатів. </w:t>
      </w:r>
      <w:r w:rsidRPr="007573CE">
        <w:rPr>
          <w:rFonts w:ascii="Times New Roman" w:eastAsia="Times New Roman" w:hAnsi="Times New Roman" w:cs="Times New Roman"/>
          <w:color w:val="000000"/>
          <w:kern w:val="0"/>
          <w:sz w:val="26"/>
          <w:szCs w:val="26"/>
          <w:lang w:val="uk-UA" w:eastAsia="uk-UA" w:bidi="uk-UA"/>
        </w:rPr>
        <w:t>У дисертаційній роботі одержано нові науково обґрунтовані результати, які в сукупності вирішують важливе науково-прикладне завдання, пов’язане з удосконаленням теоретичних підходів та розробленням практичних рекомендацій щодо забезпечення фінансової стійкості страхових компаній України для стабільного функціонування страхового ринку в умовах загострення кризових явищ в національній економіці. До найбільш вагомих результатів, які характеризують наукову новизну дисертаційної роботи, розкривають особистий внесок автора та виносяться на захист, належать:</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i/>
          <w:iCs/>
          <w:color w:val="000000"/>
          <w:kern w:val="0"/>
          <w:sz w:val="26"/>
          <w:szCs w:val="26"/>
          <w:lang w:val="uk-UA" w:eastAsia="uk-UA" w:bidi="uk-UA"/>
        </w:rPr>
      </w:pPr>
      <w:r w:rsidRPr="007573CE">
        <w:rPr>
          <w:rFonts w:ascii="Times New Roman" w:eastAsia="Times New Roman" w:hAnsi="Times New Roman" w:cs="Times New Roman"/>
          <w:i/>
          <w:iCs/>
          <w:color w:val="000000"/>
          <w:kern w:val="0"/>
          <w:sz w:val="26"/>
          <w:szCs w:val="26"/>
          <w:lang w:val="uk-UA" w:eastAsia="uk-UA" w:bidi="uk-UA"/>
        </w:rPr>
        <w:t>удосконалено:</w:t>
      </w:r>
    </w:p>
    <w:p w:rsidR="007573CE" w:rsidRPr="007573CE" w:rsidRDefault="007573CE" w:rsidP="007573CE">
      <w:pPr>
        <w:numPr>
          <w:ilvl w:val="0"/>
          <w:numId w:val="41"/>
        </w:numPr>
        <w:tabs>
          <w:tab w:val="clear" w:pos="709"/>
          <w:tab w:val="left" w:pos="1418"/>
        </w:tabs>
        <w:suppressAutoHyphens w:val="0"/>
        <w:spacing w:after="0" w:line="480" w:lineRule="exact"/>
        <w:ind w:firstLine="74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визначення поняття фінансової стійкості страхової компанії, як такий стан і якість грошових потоків страховика, за яких він здатен в повному обсязі та в обумовлений період виконувати взяті на себе зобов’язання перед усіма суб’єктами ринку під впливом чинників зовнішнього та внутрішнього середовища, забезпечувати відновлення своїх фінансових показників до нормативного рівня у разі впливу негативних чинників, що на відміну від існуючих підходів підкреслює пряму залежність фінансової стійкості від фінансових потоків страховика;</w:t>
      </w:r>
    </w:p>
    <w:p w:rsidR="007573CE" w:rsidRPr="007573CE" w:rsidRDefault="007573CE" w:rsidP="007573CE">
      <w:pPr>
        <w:numPr>
          <w:ilvl w:val="0"/>
          <w:numId w:val="41"/>
        </w:numPr>
        <w:tabs>
          <w:tab w:val="clear" w:pos="709"/>
          <w:tab w:val="left" w:pos="1418"/>
        </w:tabs>
        <w:suppressAutoHyphens w:val="0"/>
        <w:spacing w:after="0" w:line="480" w:lineRule="exact"/>
        <w:ind w:firstLine="74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теоретичні підходи до оцінювання рівня фінансової стійкості страхової компанії в частині порівняння методів міжнародних організацій, українського законодавства, дослідників та рейтингових агентств до вибору системи показників для оцінки рівня фінансової стійкості, що дозволило обґрунтувати вибір дев’ятьох основних коефіцієнтів з метою побудови єдиного інтегрального показника для рейтингування страховиків за фінансовою стійкістю, який надасть можливість споживачу страхового продукту визначитись з вибором надійної та фінансово стійкої страхової компанії;</w:t>
      </w:r>
    </w:p>
    <w:p w:rsidR="007573CE" w:rsidRPr="007573CE" w:rsidRDefault="007573CE" w:rsidP="007573CE">
      <w:pPr>
        <w:numPr>
          <w:ilvl w:val="0"/>
          <w:numId w:val="41"/>
        </w:numPr>
        <w:tabs>
          <w:tab w:val="clear" w:pos="709"/>
          <w:tab w:val="left" w:pos="1418"/>
        </w:tabs>
        <w:suppressAutoHyphens w:val="0"/>
        <w:spacing w:after="0" w:line="480" w:lineRule="exact"/>
        <w:ind w:firstLine="74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класифікацію детермінантів впливу на фінансову стійкість страхових компаній, шляхом виокремлення чинників внутрішнього середовища, з-поміж яких виділено п’ять основних (тарифна політика, інвестиційна політика, система перестрахування, обсяг власного капіталу та склад і рівень страхових резервів), та чинників зовнішнього середовища, які в свою чергу розподілено на глобальні, макроекономічні та мезоекономічні. На відміну від існуючих, такий підхід дозволяє швидше орієнтуватись у виборі джерела підвищення рівня фінансової стійкості страхової компанії в разі негативної дії певного чинника;</w:t>
      </w:r>
    </w:p>
    <w:p w:rsidR="007573CE" w:rsidRPr="007573CE" w:rsidRDefault="007573CE" w:rsidP="007573CE">
      <w:pPr>
        <w:numPr>
          <w:ilvl w:val="0"/>
          <w:numId w:val="41"/>
        </w:numPr>
        <w:tabs>
          <w:tab w:val="clear" w:pos="709"/>
          <w:tab w:val="left" w:pos="1418"/>
        </w:tabs>
        <w:suppressAutoHyphens w:val="0"/>
        <w:spacing w:after="0" w:line="480" w:lineRule="exact"/>
        <w:ind w:firstLine="74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методичні підходи до інтегральної оцінки рівня фінансової стійкості страхових компаній в частині виокремлення як коефіцієнтів- стимуляторів (коефіцієнт автономії, рівень покриття, коефіцієнт достатності страхових резервів, рентабельність активів, рентабельність власного капіталу, коефіцієнт ділової активності), так і коефіцієнтів-дестимуляторів (рівень страхових виплат, участь перестраховиків у страховій премії, коефіцієнт оборотності кредиторської заборгованості за страховими виплатами), що, на відміну від існуючих методик, зокрема тестів раннього попередження, допомагає здійснити рейтингування обраної для дослідження сукупності страхових компаній за рівнем фінансової стійкості.</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i/>
          <w:iCs/>
          <w:color w:val="000000"/>
          <w:kern w:val="0"/>
          <w:sz w:val="26"/>
          <w:szCs w:val="26"/>
          <w:lang w:val="uk-UA" w:eastAsia="uk-UA" w:bidi="uk-UA"/>
        </w:rPr>
      </w:pPr>
      <w:r w:rsidRPr="007573CE">
        <w:rPr>
          <w:rFonts w:ascii="Times New Roman" w:eastAsia="Times New Roman" w:hAnsi="Times New Roman" w:cs="Times New Roman"/>
          <w:i/>
          <w:iCs/>
          <w:color w:val="000000"/>
          <w:kern w:val="0"/>
          <w:sz w:val="26"/>
          <w:szCs w:val="26"/>
          <w:lang w:val="uk-UA" w:eastAsia="uk-UA" w:bidi="uk-UA"/>
        </w:rPr>
        <w:t>дістали подальшого розвитку:</w:t>
      </w:r>
    </w:p>
    <w:p w:rsidR="007573CE" w:rsidRPr="007573CE" w:rsidRDefault="007573CE" w:rsidP="007573CE">
      <w:pPr>
        <w:numPr>
          <w:ilvl w:val="0"/>
          <w:numId w:val="41"/>
        </w:numPr>
        <w:tabs>
          <w:tab w:val="clear" w:pos="709"/>
          <w:tab w:val="left" w:pos="1418"/>
        </w:tabs>
        <w:suppressAutoHyphens w:val="0"/>
        <w:spacing w:after="0" w:line="485" w:lineRule="exact"/>
        <w:ind w:firstLine="74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теоретичні підходи до виокремлення джерел забезпечення фінансової стійкості, серед яких виділено власний капітал, обґрунтовану тарифну політику, достатність обсягу страхових резервів, ефективну інвестиційну політику та здійснення операцій перестрахування, що дало змогу визначати відповідні індикатори оцінки фінансової стійкості страховика;</w:t>
      </w:r>
    </w:p>
    <w:p w:rsidR="007573CE" w:rsidRPr="007573CE" w:rsidRDefault="007573CE" w:rsidP="007573CE">
      <w:pPr>
        <w:numPr>
          <w:ilvl w:val="0"/>
          <w:numId w:val="41"/>
        </w:numPr>
        <w:tabs>
          <w:tab w:val="clear" w:pos="709"/>
          <w:tab w:val="left" w:pos="1418"/>
        </w:tabs>
        <w:suppressAutoHyphens w:val="0"/>
        <w:spacing w:after="0" w:line="485" w:lineRule="exact"/>
        <w:ind w:firstLine="74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систематизація компонентів управління фінансовою стійкістю страхової компанії шляхом виокремлення системи зовнішнього оцінювання та регулювання, системи методів управління, системи важелів управління та системи інструментів управління, що враховує специфіку страхової діяльності у процесі забезпечення фінансової стійкості;</w:t>
      </w:r>
    </w:p>
    <w:p w:rsidR="007573CE" w:rsidRPr="007573CE" w:rsidRDefault="007573CE" w:rsidP="007573CE">
      <w:pPr>
        <w:numPr>
          <w:ilvl w:val="0"/>
          <w:numId w:val="41"/>
        </w:numPr>
        <w:tabs>
          <w:tab w:val="clear" w:pos="709"/>
          <w:tab w:val="left" w:pos="1421"/>
        </w:tabs>
        <w:suppressAutoHyphens w:val="0"/>
        <w:spacing w:after="0" w:line="480" w:lineRule="exact"/>
        <w:ind w:firstLine="74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складові моделі управління фінансовою стійкістю страхової компанії з урахуванням ризиків шляхом виокремлення окремим етапом процесу виявлення, аналізу і оцінювання чинників, які впливають на фінансову стійкість, що дозволяє запровадити додатковий контроль рівня фінансової стійкості страховика і попередити його раптове зниження;</w:t>
      </w:r>
    </w:p>
    <w:p w:rsidR="007573CE" w:rsidRPr="007573CE" w:rsidRDefault="007573CE" w:rsidP="007573CE">
      <w:pPr>
        <w:numPr>
          <w:ilvl w:val="0"/>
          <w:numId w:val="41"/>
        </w:numPr>
        <w:tabs>
          <w:tab w:val="clear" w:pos="709"/>
          <w:tab w:val="left" w:pos="1421"/>
        </w:tabs>
        <w:suppressAutoHyphens w:val="0"/>
        <w:spacing w:after="0" w:line="480" w:lineRule="exact"/>
        <w:ind w:firstLine="740"/>
        <w:jc w:val="left"/>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 xml:space="preserve">методичні підходи щодо вдосконалення стрес-тестування українських страховиків як </w:t>
      </w:r>
      <w:r w:rsidRPr="007573CE">
        <w:rPr>
          <w:rFonts w:ascii="Times New Roman" w:eastAsia="Times New Roman" w:hAnsi="Times New Roman" w:cs="Times New Roman"/>
          <w:color w:val="000000"/>
          <w:kern w:val="0"/>
          <w:sz w:val="26"/>
          <w:szCs w:val="26"/>
          <w:lang w:val="uk-UA" w:eastAsia="ru-RU" w:bidi="ru-RU"/>
        </w:rPr>
        <w:t xml:space="preserve">методу </w:t>
      </w:r>
      <w:r w:rsidRPr="007573CE">
        <w:rPr>
          <w:rFonts w:ascii="Times New Roman" w:eastAsia="Times New Roman" w:hAnsi="Times New Roman" w:cs="Times New Roman"/>
          <w:color w:val="000000"/>
          <w:kern w:val="0"/>
          <w:sz w:val="26"/>
          <w:szCs w:val="26"/>
          <w:lang w:val="uk-UA" w:eastAsia="uk-UA" w:bidi="uk-UA"/>
        </w:rPr>
        <w:t>прогнозування їх фінансової стійкості в частині пропозицій до розроблення автоматизованого інструментарію, який уможливить використання більшої кількості сценаріїв змін економічного середовища та підвищить точність і швидкість його проведення.</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b/>
          <w:bCs/>
          <w:color w:val="000000"/>
          <w:kern w:val="0"/>
          <w:sz w:val="26"/>
          <w:szCs w:val="26"/>
          <w:lang w:val="uk-UA" w:eastAsia="uk-UA" w:bidi="uk-UA"/>
        </w:rPr>
        <w:t xml:space="preserve">Практичне значення одержаних результатів </w:t>
      </w:r>
      <w:r w:rsidRPr="007573CE">
        <w:rPr>
          <w:rFonts w:ascii="Times New Roman" w:eastAsia="Times New Roman" w:hAnsi="Times New Roman" w:cs="Times New Roman"/>
          <w:color w:val="000000"/>
          <w:kern w:val="0"/>
          <w:sz w:val="26"/>
          <w:szCs w:val="26"/>
          <w:lang w:val="uk-UA" w:eastAsia="uk-UA" w:bidi="uk-UA"/>
        </w:rPr>
        <w:t>полягає у використанні пропозицій щодо оцінки та забезпечення фінансової стійкості страхових компаній України для стабільного функціонування вітчизняного страхового ринку. Надані в роботі рекомендації можуть бути використані в процесі управління діяльністю страховиків в умовах реформування національного страхового законодавства у відповідності до законодавства ЄС.</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Основні результати дослідження, висновки і рекомендації автора були використані Національною комісією, що здійснює державне регулювання у сфері ринків фінансових послуг, у процесі підготовки проекту Розпорядження «Про внесення змін до Методики формування страхових резервів за видами страхування, іншими, ніж страхування життя та Положення про обов’язкові критерії та нормативи достатності, диверсифікованості та якості активів страховика» (довідка №4324/09-10 від 06.06.2017).</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Науково-практичні висновки щодо необхідності розроблення методичних підходів до управління фінансовою стійкістю страхової компанії знайшли практичне застосування в діяльності ПрАТ «Європейський Страховий Союз» у місті Києві у процесі розроблення та реалізації системи оцінки рівня та управління фінансовою стійкістю компанії (довідка № 01957 від 28.10.2016 р.).</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color w:val="000000"/>
          <w:kern w:val="0"/>
          <w:sz w:val="26"/>
          <w:szCs w:val="26"/>
          <w:lang w:val="uk-UA" w:eastAsia="uk-UA" w:bidi="uk-UA"/>
        </w:rPr>
        <w:t xml:space="preserve">Основні теоретичні положення дисертаційної роботи були впроваджені у навчальний процес і використовувалися при розробленні навчально- методичного комплексу, а також при проведенні семінарських </w:t>
      </w:r>
      <w:r w:rsidRPr="007573CE">
        <w:rPr>
          <w:rFonts w:ascii="Times New Roman" w:eastAsia="Times New Roman" w:hAnsi="Times New Roman" w:cs="Times New Roman"/>
          <w:color w:val="000000"/>
          <w:kern w:val="0"/>
          <w:sz w:val="26"/>
          <w:szCs w:val="26"/>
          <w:lang w:val="uk-UA" w:eastAsia="ru-RU" w:bidi="ru-RU"/>
        </w:rPr>
        <w:t xml:space="preserve">занять </w:t>
      </w:r>
      <w:r w:rsidRPr="007573CE">
        <w:rPr>
          <w:rFonts w:ascii="Times New Roman" w:eastAsia="Times New Roman" w:hAnsi="Times New Roman" w:cs="Times New Roman"/>
          <w:color w:val="000000"/>
          <w:kern w:val="0"/>
          <w:sz w:val="26"/>
          <w:szCs w:val="26"/>
          <w:lang w:val="uk-UA" w:eastAsia="uk-UA" w:bidi="uk-UA"/>
        </w:rPr>
        <w:t>для студентів економічного факультету Київського національного університету імені Тараса Шевченка з навчальної дисципліни «Страхування» (довідка № 013/534 від 22.11.2018).</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b/>
          <w:bCs/>
          <w:color w:val="000000"/>
          <w:kern w:val="0"/>
          <w:sz w:val="26"/>
          <w:szCs w:val="26"/>
          <w:lang w:val="uk-UA" w:eastAsia="uk-UA" w:bidi="uk-UA"/>
        </w:rPr>
        <w:t xml:space="preserve">Особистий внесок здобувача. </w:t>
      </w:r>
      <w:r w:rsidRPr="007573CE">
        <w:rPr>
          <w:rFonts w:ascii="Times New Roman" w:eastAsia="Times New Roman" w:hAnsi="Times New Roman" w:cs="Times New Roman"/>
          <w:color w:val="000000"/>
          <w:kern w:val="0"/>
          <w:sz w:val="26"/>
          <w:szCs w:val="26"/>
          <w:lang w:val="uk-UA" w:eastAsia="uk-UA" w:bidi="uk-UA"/>
        </w:rPr>
        <w:t>Наукові положення, висновки та рекомендації, що містяться в дисертаційній роботі, отримані здобувачем особисто. З наукових статей та публікацій, опублікованих у співавторстві, були використані тільки ті положення та висновки, які автор обґрунтував та досліджував самостійно.</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b/>
          <w:bCs/>
          <w:color w:val="000000"/>
          <w:kern w:val="0"/>
          <w:sz w:val="26"/>
          <w:szCs w:val="26"/>
          <w:lang w:val="uk-UA" w:eastAsia="uk-UA" w:bidi="uk-UA"/>
        </w:rPr>
        <w:t>Апробація результатів дисертації</w:t>
      </w:r>
      <w:r w:rsidRPr="007573CE">
        <w:rPr>
          <w:rFonts w:ascii="Times New Roman" w:eastAsia="Times New Roman" w:hAnsi="Times New Roman" w:cs="Times New Roman"/>
          <w:color w:val="000000"/>
          <w:kern w:val="0"/>
          <w:sz w:val="26"/>
          <w:szCs w:val="26"/>
          <w:lang w:val="uk-UA" w:eastAsia="uk-UA" w:bidi="uk-UA"/>
        </w:rPr>
        <w:t xml:space="preserve">. Основні наукові положення та практичні результати дослідження оприлюднено на 10 міжнародних та всеукраїнських науково-практичних конференціях, наукових форумах, круглих столах, зокрема: IV Міжнародній науково-практичній конференції «Сучасні виклики розвитку світової економіки» (19-20 листопада 2015 року, м. Київ), XIV Міжнародній науково-практичній конференції студентів, аспірантів та молодих вчених, «Шевченківська весна: економіка» (5-8 квітня 2016 року, м. Київ), XVI Міжнародній науково-практичній конференції «Конкурентоспроможність національної економіки» (7-8 квітня 2016 року, м. Київ), ІІІ Міжнародній науково-практичній конференції «Інноваційні напрямки розвитку страхового ринку України» (19-20 квітня 2016 року, м. Київ), </w:t>
      </w:r>
      <w:r w:rsidRPr="007573CE">
        <w:rPr>
          <w:rFonts w:ascii="Times New Roman" w:eastAsia="Times New Roman" w:hAnsi="Times New Roman" w:cs="Times New Roman"/>
          <w:color w:val="000000"/>
          <w:kern w:val="0"/>
          <w:sz w:val="26"/>
          <w:szCs w:val="26"/>
          <w:lang w:val="en-US" w:eastAsia="en-US" w:bidi="en-US"/>
        </w:rPr>
        <w:t>International</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scientific</w:t>
      </w:r>
      <w:r w:rsidRPr="007573CE">
        <w:rPr>
          <w:rFonts w:ascii="Times New Roman" w:eastAsia="Times New Roman" w:hAnsi="Times New Roman" w:cs="Times New Roman"/>
          <w:color w:val="000000"/>
          <w:kern w:val="0"/>
          <w:sz w:val="26"/>
          <w:szCs w:val="26"/>
          <w:lang w:val="uk-UA" w:eastAsia="en-US" w:bidi="en-US"/>
        </w:rPr>
        <w:t>-</w:t>
      </w:r>
      <w:r w:rsidRPr="007573CE">
        <w:rPr>
          <w:rFonts w:ascii="Times New Roman" w:eastAsia="Times New Roman" w:hAnsi="Times New Roman" w:cs="Times New Roman"/>
          <w:color w:val="000000"/>
          <w:kern w:val="0"/>
          <w:sz w:val="26"/>
          <w:szCs w:val="26"/>
          <w:lang w:val="en-US" w:eastAsia="en-US" w:bidi="en-US"/>
        </w:rPr>
        <w:t>practical</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conference</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Innovative</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potential</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of</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socio</w:t>
      </w:r>
      <w:r w:rsidRPr="007573CE">
        <w:rPr>
          <w:rFonts w:ascii="Times New Roman" w:eastAsia="Times New Roman" w:hAnsi="Times New Roman" w:cs="Times New Roman"/>
          <w:color w:val="000000"/>
          <w:kern w:val="0"/>
          <w:sz w:val="26"/>
          <w:szCs w:val="26"/>
          <w:lang w:val="uk-UA" w:eastAsia="en-US" w:bidi="en-US"/>
        </w:rPr>
        <w:t>-</w:t>
      </w:r>
      <w:r w:rsidRPr="007573CE">
        <w:rPr>
          <w:rFonts w:ascii="Times New Roman" w:eastAsia="Times New Roman" w:hAnsi="Times New Roman" w:cs="Times New Roman"/>
          <w:color w:val="000000"/>
          <w:kern w:val="0"/>
          <w:sz w:val="26"/>
          <w:szCs w:val="26"/>
          <w:lang w:val="en-US" w:eastAsia="en-US" w:bidi="en-US"/>
        </w:rPr>
        <w:t>economic</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systems</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from</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the</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Baltic</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to</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the</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black</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sea</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region</w:t>
      </w:r>
      <w:r w:rsidRPr="007573CE">
        <w:rPr>
          <w:rFonts w:ascii="Times New Roman" w:eastAsia="Times New Roman" w:hAnsi="Times New Roman" w:cs="Times New Roman"/>
          <w:color w:val="000000"/>
          <w:kern w:val="0"/>
          <w:sz w:val="26"/>
          <w:szCs w:val="26"/>
          <w:lang w:val="uk-UA" w:eastAsia="en-US" w:bidi="en-US"/>
        </w:rPr>
        <w:t>» (</w:t>
      </w:r>
      <w:r w:rsidRPr="007573CE">
        <w:rPr>
          <w:rFonts w:ascii="Times New Roman" w:eastAsia="Times New Roman" w:hAnsi="Times New Roman" w:cs="Times New Roman"/>
          <w:color w:val="000000"/>
          <w:kern w:val="0"/>
          <w:sz w:val="26"/>
          <w:szCs w:val="26"/>
          <w:lang w:val="en-US" w:eastAsia="en-US" w:bidi="en-US"/>
        </w:rPr>
        <w:t>March</w:t>
      </w:r>
      <w:r w:rsidRPr="007573CE">
        <w:rPr>
          <w:rFonts w:ascii="Times New Roman" w:eastAsia="Times New Roman" w:hAnsi="Times New Roman" w:cs="Times New Roman"/>
          <w:color w:val="000000"/>
          <w:kern w:val="0"/>
          <w:sz w:val="26"/>
          <w:szCs w:val="26"/>
          <w:lang w:val="uk-UA" w:eastAsia="en-US" w:bidi="en-US"/>
        </w:rPr>
        <w:t xml:space="preserve"> 25, 2016, </w:t>
      </w:r>
      <w:r w:rsidRPr="007573CE">
        <w:rPr>
          <w:rFonts w:ascii="Times New Roman" w:eastAsia="Times New Roman" w:hAnsi="Times New Roman" w:cs="Times New Roman"/>
          <w:color w:val="000000"/>
          <w:kern w:val="0"/>
          <w:sz w:val="26"/>
          <w:szCs w:val="26"/>
          <w:lang w:val="en-US" w:eastAsia="en-US" w:bidi="en-US"/>
        </w:rPr>
        <w:t>Riga</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uk-UA" w:eastAsia="uk-UA" w:bidi="uk-UA"/>
        </w:rPr>
        <w:t xml:space="preserve">ХІ Міжнародній науково-практичній конференції: Грудневі читання «Європейський вектор розвитку страхового ринку України» (1-2 грудня 2016 р., м. Київ), V Всеукраїнській науково-практичній конференції «Сучасні проблеми фінансового моніторингу» (8-9 грудня 2016 р., м. Харків), Всеукраїнській науково-практичній конференції студентів, аспірантів, молодих вчених «Страховий ринок України в умовах циклічності фінансово- економічних криз: оцінка тенденцій та перспективи розвитку» (20 квітня 2017 р., м. Тернопіль), </w:t>
      </w:r>
      <w:r w:rsidRPr="007573CE">
        <w:rPr>
          <w:rFonts w:ascii="Times New Roman" w:eastAsia="Times New Roman" w:hAnsi="Times New Roman" w:cs="Times New Roman"/>
          <w:color w:val="000000"/>
          <w:kern w:val="0"/>
          <w:sz w:val="26"/>
          <w:szCs w:val="26"/>
          <w:lang w:val="en-US" w:eastAsia="en-US" w:bidi="en-US"/>
        </w:rPr>
        <w:t>International</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Scientific</w:t>
      </w:r>
      <w:r w:rsidRPr="007573CE">
        <w:rPr>
          <w:rFonts w:ascii="Times New Roman" w:eastAsia="Times New Roman" w:hAnsi="Times New Roman" w:cs="Times New Roman"/>
          <w:color w:val="000000"/>
          <w:kern w:val="0"/>
          <w:sz w:val="26"/>
          <w:szCs w:val="26"/>
          <w:lang w:val="uk-UA" w:eastAsia="en-US" w:bidi="en-US"/>
        </w:rPr>
        <w:t>-</w:t>
      </w:r>
      <w:r w:rsidRPr="007573CE">
        <w:rPr>
          <w:rFonts w:ascii="Times New Roman" w:eastAsia="Times New Roman" w:hAnsi="Times New Roman" w:cs="Times New Roman"/>
          <w:color w:val="000000"/>
          <w:kern w:val="0"/>
          <w:sz w:val="26"/>
          <w:szCs w:val="26"/>
          <w:lang w:val="en-US" w:eastAsia="en-US" w:bidi="en-US"/>
        </w:rPr>
        <w:t>Practical</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Conference</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Anti</w:t>
      </w:r>
      <w:r w:rsidRPr="007573CE">
        <w:rPr>
          <w:rFonts w:ascii="Times New Roman" w:eastAsia="Times New Roman" w:hAnsi="Times New Roman" w:cs="Times New Roman"/>
          <w:color w:val="000000"/>
          <w:kern w:val="0"/>
          <w:sz w:val="26"/>
          <w:szCs w:val="26"/>
          <w:lang w:val="uk-UA" w:eastAsia="en-US" w:bidi="en-US"/>
        </w:rPr>
        <w:t>-</w:t>
      </w:r>
      <w:r w:rsidRPr="007573CE">
        <w:rPr>
          <w:rFonts w:ascii="Times New Roman" w:eastAsia="Times New Roman" w:hAnsi="Times New Roman" w:cs="Times New Roman"/>
          <w:color w:val="000000"/>
          <w:kern w:val="0"/>
          <w:sz w:val="26"/>
          <w:szCs w:val="26"/>
          <w:lang w:val="en-US" w:eastAsia="en-US" w:bidi="en-US"/>
        </w:rPr>
        <w:t>crisis</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management</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state</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region</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enterprise</w:t>
      </w:r>
      <w:r w:rsidRPr="007573CE">
        <w:rPr>
          <w:rFonts w:ascii="Times New Roman" w:eastAsia="Times New Roman" w:hAnsi="Times New Roman" w:cs="Times New Roman"/>
          <w:color w:val="000000"/>
          <w:kern w:val="0"/>
          <w:sz w:val="26"/>
          <w:szCs w:val="26"/>
          <w:lang w:val="uk-UA" w:eastAsia="en-US" w:bidi="en-US"/>
        </w:rPr>
        <w:t>» (</w:t>
      </w:r>
      <w:r w:rsidRPr="007573CE">
        <w:rPr>
          <w:rFonts w:ascii="Times New Roman" w:eastAsia="Times New Roman" w:hAnsi="Times New Roman" w:cs="Times New Roman"/>
          <w:color w:val="000000"/>
          <w:kern w:val="0"/>
          <w:sz w:val="26"/>
          <w:szCs w:val="26"/>
          <w:lang w:val="en-US" w:eastAsia="en-US" w:bidi="en-US"/>
        </w:rPr>
        <w:t>November</w:t>
      </w:r>
      <w:r w:rsidRPr="007573CE">
        <w:rPr>
          <w:rFonts w:ascii="Times New Roman" w:eastAsia="Times New Roman" w:hAnsi="Times New Roman" w:cs="Times New Roman"/>
          <w:color w:val="000000"/>
          <w:kern w:val="0"/>
          <w:sz w:val="26"/>
          <w:szCs w:val="26"/>
          <w:lang w:val="uk-UA" w:eastAsia="en-US" w:bidi="en-US"/>
        </w:rPr>
        <w:t xml:space="preserve"> 17, 2017, </w:t>
      </w:r>
      <w:r w:rsidRPr="007573CE">
        <w:rPr>
          <w:rFonts w:ascii="Times New Roman" w:eastAsia="Times New Roman" w:hAnsi="Times New Roman" w:cs="Times New Roman"/>
          <w:color w:val="000000"/>
          <w:kern w:val="0"/>
          <w:sz w:val="26"/>
          <w:szCs w:val="26"/>
          <w:lang w:val="en-US" w:eastAsia="en-US" w:bidi="en-US"/>
        </w:rPr>
        <w:t>Le</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Mans</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France</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IV</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uk-UA" w:eastAsia="uk-UA" w:bidi="uk-UA"/>
        </w:rPr>
        <w:t xml:space="preserve">Всеукраїнській науково-практичній конференції студентів, аспірантів та молодих вчених «Об’єднані наукою: перспективи міждисциплінарних досліджень» (9-10 листопада 2017 р., м. Київ), IV Міжнародній науково- практичній конференції «Страховий ринок України на шляху євроінтеграції» </w:t>
      </w:r>
      <w:r w:rsidRPr="007573CE">
        <w:rPr>
          <w:rFonts w:ascii="Times New Roman" w:eastAsia="Times New Roman" w:hAnsi="Times New Roman" w:cs="Times New Roman"/>
          <w:color w:val="000000"/>
          <w:kern w:val="0"/>
          <w:sz w:val="26"/>
          <w:szCs w:val="26"/>
          <w:lang w:val="uk-UA" w:eastAsia="ru-RU" w:bidi="ru-RU"/>
        </w:rPr>
        <w:t>(17</w:t>
      </w:r>
      <w:r w:rsidRPr="007573CE">
        <w:rPr>
          <w:rFonts w:ascii="Times New Roman" w:eastAsia="Times New Roman" w:hAnsi="Times New Roman" w:cs="Times New Roman"/>
          <w:color w:val="000000"/>
          <w:kern w:val="0"/>
          <w:sz w:val="26"/>
          <w:szCs w:val="26"/>
          <w:lang w:val="uk-UA" w:eastAsia="ru-RU" w:bidi="ru-RU"/>
        </w:rPr>
        <w:softHyphen/>
        <w:t>18</w:t>
      </w:r>
      <w:r w:rsidRPr="007573CE">
        <w:rPr>
          <w:rFonts w:ascii="Times New Roman" w:eastAsia="Times New Roman" w:hAnsi="Times New Roman" w:cs="Times New Roman"/>
          <w:color w:val="000000"/>
          <w:kern w:val="0"/>
          <w:sz w:val="26"/>
          <w:szCs w:val="26"/>
          <w:lang w:val="uk-UA" w:eastAsia="uk-UA" w:bidi="uk-UA"/>
        </w:rPr>
        <w:t xml:space="preserve"> квітня 2018 р., м. Київ).</w:t>
      </w:r>
    </w:p>
    <w:p w:rsidR="007573CE" w:rsidRPr="007573CE" w:rsidRDefault="007573CE" w:rsidP="007573CE">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573CE">
        <w:rPr>
          <w:rFonts w:ascii="Times New Roman" w:eastAsia="Times New Roman" w:hAnsi="Times New Roman" w:cs="Times New Roman"/>
          <w:b/>
          <w:bCs/>
          <w:color w:val="000000"/>
          <w:kern w:val="0"/>
          <w:sz w:val="26"/>
          <w:szCs w:val="26"/>
          <w:lang w:val="uk-UA" w:eastAsia="uk-UA" w:bidi="uk-UA"/>
        </w:rPr>
        <w:t>Публікації</w:t>
      </w:r>
      <w:r w:rsidRPr="007573CE">
        <w:rPr>
          <w:rFonts w:ascii="Times New Roman" w:eastAsia="Times New Roman" w:hAnsi="Times New Roman" w:cs="Times New Roman"/>
          <w:color w:val="000000"/>
          <w:kern w:val="0"/>
          <w:sz w:val="26"/>
          <w:szCs w:val="26"/>
          <w:lang w:val="uk-UA" w:eastAsia="uk-UA" w:bidi="uk-UA"/>
        </w:rPr>
        <w:t xml:space="preserve">. Основні положення дисертаційної роботи знайшли своє відображення у 21 науковій праці (з них 7 - у фахових наукових виданнях України, з яких 6 входить до міжнародних науково-метричних баз даних та 1 стаття належать до </w:t>
      </w:r>
      <w:r w:rsidRPr="007573CE">
        <w:rPr>
          <w:rFonts w:ascii="Times New Roman" w:eastAsia="Times New Roman" w:hAnsi="Times New Roman" w:cs="Times New Roman"/>
          <w:color w:val="000000"/>
          <w:kern w:val="0"/>
          <w:sz w:val="26"/>
          <w:szCs w:val="26"/>
          <w:lang w:val="en-US" w:eastAsia="en-US" w:bidi="en-US"/>
        </w:rPr>
        <w:t>Scopus</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uk-UA" w:eastAsia="uk-UA" w:bidi="uk-UA"/>
        </w:rPr>
        <w:t xml:space="preserve">3 - в іноземних виданнях, з яких 1 входить до міжнародної науково-метричної бази даних </w:t>
      </w:r>
      <w:r w:rsidRPr="007573CE">
        <w:rPr>
          <w:rFonts w:ascii="Times New Roman" w:eastAsia="Times New Roman" w:hAnsi="Times New Roman" w:cs="Times New Roman"/>
          <w:color w:val="000000"/>
          <w:kern w:val="0"/>
          <w:sz w:val="26"/>
          <w:szCs w:val="26"/>
          <w:lang w:val="en-US" w:eastAsia="en-US" w:bidi="en-US"/>
        </w:rPr>
        <w:t>Web</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of</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en-US" w:eastAsia="en-US" w:bidi="en-US"/>
        </w:rPr>
        <w:t>Science</w:t>
      </w:r>
      <w:r w:rsidRPr="007573CE">
        <w:rPr>
          <w:rFonts w:ascii="Times New Roman" w:eastAsia="Times New Roman" w:hAnsi="Times New Roman" w:cs="Times New Roman"/>
          <w:color w:val="000000"/>
          <w:kern w:val="0"/>
          <w:sz w:val="26"/>
          <w:szCs w:val="26"/>
          <w:lang w:val="uk-UA" w:eastAsia="en-US" w:bidi="en-US"/>
        </w:rPr>
        <w:t xml:space="preserve">, </w:t>
      </w:r>
      <w:r w:rsidRPr="007573CE">
        <w:rPr>
          <w:rFonts w:ascii="Times New Roman" w:eastAsia="Times New Roman" w:hAnsi="Times New Roman" w:cs="Times New Roman"/>
          <w:color w:val="000000"/>
          <w:kern w:val="0"/>
          <w:sz w:val="26"/>
          <w:szCs w:val="26"/>
          <w:lang w:val="uk-UA" w:eastAsia="uk-UA" w:bidi="uk-UA"/>
        </w:rPr>
        <w:t>10 - публікації у збірниках матеріалів наукових конференцій, 1 - у іншому науковому виданні). Загальний обсяг публікацій - 7,49 д.а., особисто автору належить - 7,21 д.а.</w:t>
      </w:r>
    </w:p>
    <w:p w:rsidR="007573CE" w:rsidRDefault="007573CE" w:rsidP="007573CE">
      <w:pPr>
        <w:rPr>
          <w:rFonts w:ascii="Arial Unicode MS" w:eastAsia="Arial Unicode MS" w:hAnsi="Arial Unicode MS" w:cs="Arial Unicode MS"/>
          <w:color w:val="000000"/>
          <w:kern w:val="0"/>
          <w:sz w:val="24"/>
          <w:szCs w:val="24"/>
          <w:lang w:val="uk-UA" w:eastAsia="uk-UA" w:bidi="uk-UA"/>
        </w:rPr>
      </w:pPr>
      <w:r w:rsidRPr="007573CE">
        <w:rPr>
          <w:rFonts w:ascii="Times New Roman" w:eastAsia="Arial Unicode MS" w:hAnsi="Times New Roman" w:cs="Times New Roman"/>
          <w:b/>
          <w:bCs/>
          <w:color w:val="000000"/>
          <w:kern w:val="0"/>
          <w:sz w:val="26"/>
          <w:szCs w:val="26"/>
          <w:lang w:val="uk-UA" w:eastAsia="uk-UA" w:bidi="uk-UA"/>
        </w:rPr>
        <w:t xml:space="preserve">Структура та обсяг дисертації. </w:t>
      </w:r>
      <w:r w:rsidRPr="007573CE">
        <w:rPr>
          <w:rFonts w:ascii="Arial Unicode MS" w:eastAsia="Arial Unicode MS" w:hAnsi="Arial Unicode MS" w:cs="Arial Unicode MS"/>
          <w:color w:val="000000"/>
          <w:kern w:val="0"/>
          <w:sz w:val="24"/>
          <w:szCs w:val="24"/>
          <w:lang w:val="uk-UA" w:eastAsia="uk-UA" w:bidi="uk-UA"/>
        </w:rPr>
        <w:t>Дисертація складається зі вступу, трьох розділів, висновків, списку використаних джерел і додатків. Основний зміст дисертаційної роботи викладено на 160 сторінках друкованого тексту. Дисертація містить 14 рисунків, 29 таблиць. Робота має 10 додатків, розміщених на 19 сторінках. Список використаних джерел налічує 222 найменування на 17 сторінках.</w:t>
      </w:r>
    </w:p>
    <w:p w:rsidR="007573CE" w:rsidRDefault="007573CE" w:rsidP="007573CE">
      <w:pPr>
        <w:rPr>
          <w:rFonts w:ascii="Arial Unicode MS" w:eastAsia="Arial Unicode MS" w:hAnsi="Arial Unicode MS" w:cs="Arial Unicode MS"/>
          <w:color w:val="000000"/>
          <w:kern w:val="0"/>
          <w:sz w:val="24"/>
          <w:szCs w:val="24"/>
          <w:lang w:val="uk-UA" w:eastAsia="uk-UA" w:bidi="uk-UA"/>
        </w:rPr>
      </w:pPr>
    </w:p>
    <w:p w:rsidR="007573CE" w:rsidRDefault="007573CE" w:rsidP="007573CE">
      <w:pPr>
        <w:rPr>
          <w:rFonts w:ascii="Arial Unicode MS" w:eastAsia="Arial Unicode MS" w:hAnsi="Arial Unicode MS" w:cs="Arial Unicode MS"/>
          <w:color w:val="000000"/>
          <w:kern w:val="0"/>
          <w:sz w:val="24"/>
          <w:szCs w:val="24"/>
          <w:lang w:val="uk-UA" w:eastAsia="uk-UA" w:bidi="uk-UA"/>
        </w:rPr>
      </w:pPr>
    </w:p>
    <w:p w:rsidR="007573CE" w:rsidRPr="007573CE" w:rsidRDefault="007573CE" w:rsidP="007573CE">
      <w:pPr>
        <w:keepNext/>
        <w:keepLines/>
        <w:tabs>
          <w:tab w:val="clear" w:pos="709"/>
        </w:tabs>
        <w:suppressAutoHyphens w:val="0"/>
        <w:spacing w:after="966" w:line="260" w:lineRule="exact"/>
        <w:ind w:left="4320" w:firstLine="0"/>
        <w:jc w:val="left"/>
        <w:outlineLvl w:val="2"/>
        <w:rPr>
          <w:rFonts w:ascii="Times New Roman" w:eastAsia="Times New Roman" w:hAnsi="Times New Roman" w:cs="Times New Roman"/>
          <w:kern w:val="0"/>
          <w:sz w:val="26"/>
          <w:szCs w:val="26"/>
          <w:lang w:val="uk-UA" w:eastAsia="uk-UA" w:bidi="uk-UA"/>
        </w:rPr>
      </w:pPr>
      <w:bookmarkStart w:id="3" w:name="bookmark26"/>
      <w:r w:rsidRPr="007573CE">
        <w:rPr>
          <w:rFonts w:ascii="Times New Roman" w:eastAsia="Times New Roman" w:hAnsi="Times New Roman" w:cs="Times New Roman"/>
          <w:color w:val="000000"/>
          <w:kern w:val="0"/>
          <w:sz w:val="26"/>
          <w:szCs w:val="26"/>
          <w:lang w:val="uk-UA" w:eastAsia="uk-UA" w:bidi="uk-UA"/>
        </w:rPr>
        <w:t>ВИСНОВКИ</w:t>
      </w:r>
      <w:bookmarkEnd w:id="3"/>
    </w:p>
    <w:p w:rsidR="007573CE" w:rsidRPr="007573CE" w:rsidRDefault="007573CE" w:rsidP="007573CE">
      <w:pPr>
        <w:tabs>
          <w:tab w:val="clear" w:pos="709"/>
        </w:tabs>
        <w:suppressAutoHyphens w:val="0"/>
        <w:spacing w:after="0" w:line="240" w:lineRule="auto"/>
        <w:ind w:left="240" w:right="260" w:firstLine="440"/>
        <w:rPr>
          <w:rFonts w:ascii="Arial Unicode MS" w:eastAsia="Arial Unicode MS" w:hAnsi="Arial Unicode MS" w:cs="Arial Unicode MS"/>
          <w:color w:val="000000"/>
          <w:kern w:val="0"/>
          <w:sz w:val="24"/>
          <w:szCs w:val="24"/>
          <w:lang w:val="uk-UA" w:eastAsia="uk-UA" w:bidi="uk-UA"/>
        </w:rPr>
      </w:pPr>
      <w:r w:rsidRPr="007573CE">
        <w:rPr>
          <w:rFonts w:ascii="Arial Unicode MS" w:eastAsia="Arial Unicode MS" w:hAnsi="Arial Unicode MS" w:cs="Arial Unicode MS"/>
          <w:color w:val="000000"/>
          <w:kern w:val="0"/>
          <w:sz w:val="24"/>
          <w:szCs w:val="24"/>
          <w:lang w:val="uk-UA" w:eastAsia="uk-UA" w:bidi="uk-UA"/>
        </w:rPr>
        <w:t>У дисертації здійснено нове вирішення наукового завдання, що полягає в удосконаленні теоретичних підходів та розробленні практичних рекомендацій щодо забезпечення фінансової стійкості страхових компаній України для стабільного функціонування страхового ринку в умовах загострення кризових явищ в економіці країни. Результати дослідження дали змогу сформувати висновки і пропозиції теоретичного та науково-практичного характеру відповідно до поставленої мети і завдань.</w:t>
      </w:r>
    </w:p>
    <w:p w:rsidR="007573CE" w:rsidRPr="007573CE" w:rsidRDefault="007573CE" w:rsidP="007573CE">
      <w:pPr>
        <w:numPr>
          <w:ilvl w:val="0"/>
          <w:numId w:val="42"/>
        </w:numPr>
        <w:tabs>
          <w:tab w:val="clear" w:pos="709"/>
          <w:tab w:val="left" w:pos="1516"/>
        </w:tabs>
        <w:suppressAutoHyphens w:val="0"/>
        <w:spacing w:after="0" w:line="480" w:lineRule="exact"/>
        <w:ind w:left="240" w:right="260" w:firstLine="800"/>
        <w:jc w:val="left"/>
        <w:rPr>
          <w:rFonts w:ascii="Arial Unicode MS" w:eastAsia="Arial Unicode MS" w:hAnsi="Arial Unicode MS" w:cs="Arial Unicode MS"/>
          <w:color w:val="000000"/>
          <w:kern w:val="0"/>
          <w:sz w:val="24"/>
          <w:szCs w:val="24"/>
          <w:lang w:val="uk-UA" w:eastAsia="uk-UA" w:bidi="uk-UA"/>
        </w:rPr>
      </w:pPr>
      <w:r w:rsidRPr="007573CE">
        <w:rPr>
          <w:rFonts w:ascii="Arial Unicode MS" w:eastAsia="Arial Unicode MS" w:hAnsi="Arial Unicode MS" w:cs="Arial Unicode MS"/>
          <w:color w:val="000000"/>
          <w:kern w:val="0"/>
          <w:sz w:val="24"/>
          <w:szCs w:val="24"/>
          <w:lang w:val="uk-UA" w:eastAsia="uk-UA" w:bidi="uk-UA"/>
        </w:rPr>
        <w:t>Фінансову стійкість страхової компанії доцільно розглядати як такий стан і якість грошових потоків страховика, за яких він здатен в повному обсязі та в обумовлений період виконувати взяті на себе зобов’язання перед усіма суб’єктами ринку під впливом чинників зовнішнього та внутрішнього середовища, забезпечувати відновлення своїх фінансових показників до нормативного рівня у разі впливу негативних чинників.</w:t>
      </w:r>
    </w:p>
    <w:p w:rsidR="007573CE" w:rsidRPr="007573CE" w:rsidRDefault="007573CE" w:rsidP="007573CE">
      <w:pPr>
        <w:numPr>
          <w:ilvl w:val="0"/>
          <w:numId w:val="42"/>
        </w:numPr>
        <w:tabs>
          <w:tab w:val="clear" w:pos="709"/>
          <w:tab w:val="left" w:pos="1516"/>
        </w:tabs>
        <w:suppressAutoHyphens w:val="0"/>
        <w:spacing w:after="0" w:line="480" w:lineRule="exact"/>
        <w:ind w:left="240" w:right="260" w:firstLine="800"/>
        <w:jc w:val="left"/>
        <w:rPr>
          <w:rFonts w:ascii="Arial Unicode MS" w:eastAsia="Arial Unicode MS" w:hAnsi="Arial Unicode MS" w:cs="Arial Unicode MS"/>
          <w:color w:val="000000"/>
          <w:kern w:val="0"/>
          <w:sz w:val="24"/>
          <w:szCs w:val="24"/>
          <w:lang w:val="uk-UA" w:eastAsia="uk-UA" w:bidi="uk-UA"/>
        </w:rPr>
      </w:pPr>
      <w:r w:rsidRPr="007573CE">
        <w:rPr>
          <w:rFonts w:ascii="Arial Unicode MS" w:eastAsia="Arial Unicode MS" w:hAnsi="Arial Unicode MS" w:cs="Arial Unicode MS"/>
          <w:color w:val="000000"/>
          <w:kern w:val="0"/>
          <w:sz w:val="24"/>
          <w:szCs w:val="24"/>
          <w:lang w:val="uk-UA" w:eastAsia="uk-UA" w:bidi="uk-UA"/>
        </w:rPr>
        <w:t>З-поміж сукупності джерел забезпечення фінансової стійкості страховика виділено основні: власний капітал, обґрунтована тарифна політика, достатність обсягу страхових резервів, ефективна інвестиційна політика, здійснення операцій перестрахування, внаслідок чого визначено відповідні індикатори оцінки фінансової стійкості страховика.</w:t>
      </w:r>
    </w:p>
    <w:p w:rsidR="007573CE" w:rsidRPr="007573CE" w:rsidRDefault="007573CE" w:rsidP="007573CE">
      <w:pPr>
        <w:numPr>
          <w:ilvl w:val="0"/>
          <w:numId w:val="42"/>
        </w:numPr>
        <w:tabs>
          <w:tab w:val="clear" w:pos="709"/>
          <w:tab w:val="left" w:pos="1516"/>
        </w:tabs>
        <w:suppressAutoHyphens w:val="0"/>
        <w:spacing w:after="0" w:line="480" w:lineRule="exact"/>
        <w:ind w:left="240" w:right="260" w:firstLine="800"/>
        <w:jc w:val="left"/>
        <w:rPr>
          <w:rFonts w:ascii="Arial Unicode MS" w:eastAsia="Arial Unicode MS" w:hAnsi="Arial Unicode MS" w:cs="Arial Unicode MS"/>
          <w:color w:val="000000"/>
          <w:kern w:val="0"/>
          <w:sz w:val="24"/>
          <w:szCs w:val="24"/>
          <w:lang w:val="uk-UA" w:eastAsia="uk-UA" w:bidi="uk-UA"/>
        </w:rPr>
      </w:pPr>
      <w:r w:rsidRPr="007573CE">
        <w:rPr>
          <w:rFonts w:ascii="Arial Unicode MS" w:eastAsia="Arial Unicode MS" w:hAnsi="Arial Unicode MS" w:cs="Arial Unicode MS"/>
          <w:color w:val="000000"/>
          <w:kern w:val="0"/>
          <w:sz w:val="24"/>
          <w:szCs w:val="24"/>
          <w:lang w:val="uk-UA" w:eastAsia="uk-UA" w:bidi="uk-UA"/>
        </w:rPr>
        <w:t>Узагальнення особливостей сфери страхування дозволило виділити внутрішні, які залежать від діяльності конкретної страхової компанії, та зовнішні чинники, які є результатом впливу на страхову компанію зовнішнього середовища та не залежать від страхової компанії і ефективності її роботи. Такі групи чинників тісно взаємопов’язані: зміна одних може викликати зміну інших, і, отже, їх вплив на рівень фінансової стійкості страхової компанії є взаємообумовленим.</w:t>
      </w:r>
    </w:p>
    <w:p w:rsidR="007573CE" w:rsidRPr="007573CE" w:rsidRDefault="007573CE" w:rsidP="007573CE">
      <w:pPr>
        <w:numPr>
          <w:ilvl w:val="0"/>
          <w:numId w:val="42"/>
        </w:numPr>
        <w:tabs>
          <w:tab w:val="clear" w:pos="709"/>
          <w:tab w:val="left" w:pos="1516"/>
        </w:tabs>
        <w:suppressAutoHyphens w:val="0"/>
        <w:spacing w:after="0" w:line="480" w:lineRule="exact"/>
        <w:ind w:left="240" w:right="260" w:firstLine="800"/>
        <w:jc w:val="left"/>
        <w:rPr>
          <w:rFonts w:ascii="Arial Unicode MS" w:eastAsia="Arial Unicode MS" w:hAnsi="Arial Unicode MS" w:cs="Arial Unicode MS"/>
          <w:color w:val="000000"/>
          <w:kern w:val="0"/>
          <w:sz w:val="24"/>
          <w:szCs w:val="24"/>
          <w:lang w:val="uk-UA" w:eastAsia="uk-UA" w:bidi="uk-UA"/>
        </w:rPr>
      </w:pPr>
      <w:r w:rsidRPr="007573CE">
        <w:rPr>
          <w:rFonts w:ascii="Arial Unicode MS" w:eastAsia="Arial Unicode MS" w:hAnsi="Arial Unicode MS" w:cs="Arial Unicode MS"/>
          <w:color w:val="000000"/>
          <w:kern w:val="0"/>
          <w:sz w:val="24"/>
          <w:szCs w:val="24"/>
          <w:lang w:val="uk-UA" w:eastAsia="uk-UA" w:bidi="uk-UA"/>
        </w:rPr>
        <w:t xml:space="preserve">Як показало дослідження, процес управління фінансовою стійкістю страховика реалізується, базуючись на загальних принципах менеджменту, принципах фінансового </w:t>
      </w:r>
      <w:r w:rsidRPr="007573CE">
        <w:rPr>
          <w:rFonts w:ascii="Arial Unicode MS" w:eastAsia="Arial Unicode MS" w:hAnsi="Arial Unicode MS" w:cs="Arial Unicode MS"/>
          <w:color w:val="000000"/>
          <w:kern w:val="0"/>
          <w:sz w:val="24"/>
          <w:szCs w:val="24"/>
          <w:lang w:eastAsia="ru-RU" w:bidi="ru-RU"/>
        </w:rPr>
        <w:t>менеджменту, прин</w:t>
      </w:r>
      <w:r w:rsidRPr="007573CE">
        <w:rPr>
          <w:rFonts w:ascii="Times New Roman" w:eastAsia="Arial Unicode MS" w:hAnsi="Times New Roman" w:cs="Times New Roman"/>
          <w:color w:val="000000"/>
          <w:kern w:val="0"/>
          <w:sz w:val="26"/>
          <w:szCs w:val="26"/>
          <w:u w:val="single"/>
          <w:lang w:eastAsia="ru-RU" w:bidi="ru-RU"/>
        </w:rPr>
        <w:t>ц</w:t>
      </w:r>
      <w:r w:rsidRPr="007573CE">
        <w:rPr>
          <w:rFonts w:ascii="Arial Unicode MS" w:eastAsia="Arial Unicode MS" w:hAnsi="Arial Unicode MS" w:cs="Arial Unicode MS"/>
          <w:color w:val="000000"/>
          <w:kern w:val="0"/>
          <w:sz w:val="24"/>
          <w:szCs w:val="24"/>
          <w:lang w:eastAsia="ru-RU" w:bidi="ru-RU"/>
        </w:rPr>
        <w:t xml:space="preserve">ипах ризик-менеджменту та на </w:t>
      </w:r>
      <w:r w:rsidRPr="007573CE">
        <w:rPr>
          <w:rFonts w:ascii="Arial Unicode MS" w:eastAsia="Arial Unicode MS" w:hAnsi="Arial Unicode MS" w:cs="Arial Unicode MS"/>
          <w:color w:val="000000"/>
          <w:kern w:val="0"/>
          <w:sz w:val="24"/>
          <w:szCs w:val="24"/>
          <w:lang w:val="uk-UA" w:eastAsia="uk-UA" w:bidi="uk-UA"/>
        </w:rPr>
        <w:t>основі специфічних принципів управління фінансовою стійкістю страховика. Виходячи з цього, виділено чотири основні блоки серед компонентів управління фінансовою стійкістю страхової компанії, що також поєднали загальні особливості страховика, як фінансової організації, та врахували специфічні риси діяльності даного фінансово-кредитного інституту. Зокрема, виділено систему зовнішнього оцінювання і регулювання фінансової стійкості страхової компанії, систему методів управління, систему важелів управління та систему інструментів управління фінансовою стійкістю страхової компанії.</w:t>
      </w:r>
    </w:p>
    <w:p w:rsidR="007573CE" w:rsidRPr="007573CE" w:rsidRDefault="007573CE" w:rsidP="007573CE">
      <w:pPr>
        <w:numPr>
          <w:ilvl w:val="0"/>
          <w:numId w:val="42"/>
        </w:numPr>
        <w:tabs>
          <w:tab w:val="clear" w:pos="709"/>
          <w:tab w:val="left" w:pos="1537"/>
        </w:tabs>
        <w:suppressAutoHyphens w:val="0"/>
        <w:spacing w:after="0" w:line="480" w:lineRule="exact"/>
        <w:ind w:left="260" w:right="260" w:firstLine="780"/>
        <w:jc w:val="left"/>
        <w:rPr>
          <w:rFonts w:ascii="Arial Unicode MS" w:eastAsia="Arial Unicode MS" w:hAnsi="Arial Unicode MS" w:cs="Arial Unicode MS"/>
          <w:color w:val="000000"/>
          <w:kern w:val="0"/>
          <w:sz w:val="24"/>
          <w:szCs w:val="24"/>
          <w:lang w:val="uk-UA" w:eastAsia="uk-UA" w:bidi="uk-UA"/>
        </w:rPr>
      </w:pPr>
      <w:r w:rsidRPr="007573CE">
        <w:rPr>
          <w:rFonts w:ascii="Arial Unicode MS" w:eastAsia="Arial Unicode MS" w:hAnsi="Arial Unicode MS" w:cs="Arial Unicode MS"/>
          <w:color w:val="000000"/>
          <w:kern w:val="0"/>
          <w:sz w:val="24"/>
          <w:szCs w:val="24"/>
          <w:lang w:val="uk-UA" w:eastAsia="uk-UA" w:bidi="uk-UA"/>
        </w:rPr>
        <w:t>На законодавчому рівні в Україні існує система нормативно- правових актів, що закріплює статус та порядок оцінки фінансової стійкості страхових компаній на основі методики тестів раннього попередження. Водночас виявлено ряд недоліків даного інструменту, до яких можна віднести: недостатню репрезентативність 4-бальної системи оцінювання, що не дозволяє демонструвати динаміку рівня фінансової стійкості; неможливість рейтингування страхових компаній за рівнем фінансової стійкості; ігнорування особливостей функціонування страховика при оцінці його фінансової стійкості; непрозорість та нерегулярність оцінювання фінансової стійкості страховика.</w:t>
      </w:r>
    </w:p>
    <w:p w:rsidR="007573CE" w:rsidRPr="007573CE" w:rsidRDefault="007573CE" w:rsidP="007573CE">
      <w:pPr>
        <w:numPr>
          <w:ilvl w:val="0"/>
          <w:numId w:val="42"/>
        </w:numPr>
        <w:tabs>
          <w:tab w:val="clear" w:pos="709"/>
          <w:tab w:val="left" w:pos="1537"/>
        </w:tabs>
        <w:suppressAutoHyphens w:val="0"/>
        <w:spacing w:after="0" w:line="480" w:lineRule="exact"/>
        <w:ind w:left="260" w:right="260" w:firstLine="780"/>
        <w:jc w:val="left"/>
        <w:rPr>
          <w:rFonts w:ascii="Arial Unicode MS" w:eastAsia="Arial Unicode MS" w:hAnsi="Arial Unicode MS" w:cs="Arial Unicode MS"/>
          <w:color w:val="000000"/>
          <w:kern w:val="0"/>
          <w:sz w:val="24"/>
          <w:szCs w:val="24"/>
          <w:lang w:val="uk-UA" w:eastAsia="uk-UA" w:bidi="uk-UA"/>
        </w:rPr>
      </w:pPr>
      <w:r w:rsidRPr="007573CE">
        <w:rPr>
          <w:rFonts w:ascii="Arial Unicode MS" w:eastAsia="Arial Unicode MS" w:hAnsi="Arial Unicode MS" w:cs="Arial Unicode MS"/>
          <w:color w:val="000000"/>
          <w:kern w:val="0"/>
          <w:sz w:val="24"/>
          <w:szCs w:val="24"/>
          <w:lang w:val="uk-UA" w:eastAsia="uk-UA" w:bidi="uk-UA"/>
        </w:rPr>
        <w:t xml:space="preserve">Проведений аналіз фінансової стійкості страхових компаній України за період 2014-2018 рр. продемонстрував, що з-поміж досліджуваних ТОП-25 ринку </w:t>
      </w:r>
      <w:r w:rsidRPr="007573CE">
        <w:rPr>
          <w:rFonts w:ascii="Arial Unicode MS" w:eastAsia="Arial Unicode MS" w:hAnsi="Arial Unicode MS" w:cs="Arial Unicode MS"/>
          <w:color w:val="000000"/>
          <w:kern w:val="0"/>
          <w:sz w:val="24"/>
          <w:szCs w:val="24"/>
          <w:lang w:val="en-US" w:eastAsia="en-US" w:bidi="en-US"/>
        </w:rPr>
        <w:t>non</w:t>
      </w:r>
      <w:r w:rsidRPr="007573CE">
        <w:rPr>
          <w:rFonts w:ascii="Arial Unicode MS" w:eastAsia="Arial Unicode MS" w:hAnsi="Arial Unicode MS" w:cs="Arial Unicode MS"/>
          <w:color w:val="000000"/>
          <w:kern w:val="0"/>
          <w:sz w:val="24"/>
          <w:szCs w:val="24"/>
          <w:lang w:val="uk-UA" w:eastAsia="en-US" w:bidi="en-US"/>
        </w:rPr>
        <w:t>-</w:t>
      </w:r>
      <w:r w:rsidRPr="007573CE">
        <w:rPr>
          <w:rFonts w:ascii="Arial Unicode MS" w:eastAsia="Arial Unicode MS" w:hAnsi="Arial Unicode MS" w:cs="Arial Unicode MS"/>
          <w:color w:val="000000"/>
          <w:kern w:val="0"/>
          <w:sz w:val="24"/>
          <w:szCs w:val="24"/>
          <w:lang w:val="en-US" w:eastAsia="en-US" w:bidi="en-US"/>
        </w:rPr>
        <w:t>life</w:t>
      </w:r>
      <w:r w:rsidRPr="007573CE">
        <w:rPr>
          <w:rFonts w:ascii="Arial Unicode MS" w:eastAsia="Arial Unicode MS" w:hAnsi="Arial Unicode MS" w:cs="Arial Unicode MS"/>
          <w:color w:val="000000"/>
          <w:kern w:val="0"/>
          <w:sz w:val="24"/>
          <w:szCs w:val="24"/>
          <w:lang w:val="uk-UA" w:eastAsia="en-US" w:bidi="en-US"/>
        </w:rPr>
        <w:t xml:space="preserve"> </w:t>
      </w:r>
      <w:r w:rsidRPr="007573CE">
        <w:rPr>
          <w:rFonts w:ascii="Arial Unicode MS" w:eastAsia="Arial Unicode MS" w:hAnsi="Arial Unicode MS" w:cs="Arial Unicode MS"/>
          <w:color w:val="000000"/>
          <w:kern w:val="0"/>
          <w:sz w:val="24"/>
          <w:szCs w:val="24"/>
          <w:lang w:val="uk-UA" w:eastAsia="uk-UA" w:bidi="uk-UA"/>
        </w:rPr>
        <w:t>страхування України лише одна компанія протягом п’яти років незмінно показувала стабільні результати і характеризувалась задовільним рівнем фінансової стійкості. Решта ж компаній отримала нестабільні результати із негативною тенденцією. Крім того, здійснений аналіз фінансової стійкості збанкрутілих протягом останніх років страхових компаній за тестами раннього попередження свідчить про низьку ефективність даної методики у напрямку сигналізування регулятора про наявні загрози щодо фінансового стану страховика. Запропоновано використовувати інтегральний показник для оцінки фінансової стійкості страховика, який дозволить врахувати більшу кількість параметрів при оцінюванні (рівень страхових виплат, участь перестраховиків у страховій премії, коефіцієнт оборотності кредиторської заборгованості за страховими виплатами, коефіцієнт автономії, рівень покриття, коефіцієнт достатності страхових резервів, рентабельність активів, рентабельність власного капіталу, коефіцієнт ділової активності), а також диверсифікувати кожен показник відповідно до специфіки діяльності страхової компанії та порівняти результати оцінки страхових компаній між собою, що у майбутньому сприятиме зростанню конкурентоспроможності між страховиками.</w:t>
      </w:r>
    </w:p>
    <w:p w:rsidR="007573CE" w:rsidRPr="007573CE" w:rsidRDefault="007573CE" w:rsidP="007573CE">
      <w:pPr>
        <w:numPr>
          <w:ilvl w:val="0"/>
          <w:numId w:val="42"/>
        </w:numPr>
        <w:tabs>
          <w:tab w:val="clear" w:pos="709"/>
          <w:tab w:val="left" w:pos="1532"/>
        </w:tabs>
        <w:suppressAutoHyphens w:val="0"/>
        <w:spacing w:after="0" w:line="480" w:lineRule="exact"/>
        <w:ind w:left="260" w:right="260" w:firstLine="780"/>
        <w:jc w:val="left"/>
        <w:rPr>
          <w:rFonts w:ascii="Arial Unicode MS" w:eastAsia="Arial Unicode MS" w:hAnsi="Arial Unicode MS" w:cs="Arial Unicode MS"/>
          <w:color w:val="000000"/>
          <w:kern w:val="0"/>
          <w:sz w:val="24"/>
          <w:szCs w:val="24"/>
          <w:lang w:val="uk-UA" w:eastAsia="uk-UA" w:bidi="uk-UA"/>
        </w:rPr>
      </w:pPr>
      <w:r w:rsidRPr="007573CE">
        <w:rPr>
          <w:rFonts w:ascii="Arial Unicode MS" w:eastAsia="Arial Unicode MS" w:hAnsi="Arial Unicode MS" w:cs="Arial Unicode MS"/>
          <w:color w:val="000000"/>
          <w:kern w:val="0"/>
          <w:sz w:val="24"/>
          <w:szCs w:val="24"/>
          <w:lang w:val="uk-UA" w:eastAsia="uk-UA" w:bidi="uk-UA"/>
        </w:rPr>
        <w:t>В умовах посилення нестабільності зовнішнього середовища одним із найбільш важливих ризиків для страхової компанії є ризик зниження її фінансової стійкості, який визначено як ймовірність погіршення фінансового стану компанії внаслідок впливу факторів зовнішнього і внутрішнього середовища в умовах його невизначеності, що призводить до неможливості виконання своїх зобов’язань страховиком.</w:t>
      </w:r>
    </w:p>
    <w:p w:rsidR="007573CE" w:rsidRPr="007573CE" w:rsidRDefault="007573CE" w:rsidP="007573CE">
      <w:pPr>
        <w:numPr>
          <w:ilvl w:val="0"/>
          <w:numId w:val="42"/>
        </w:numPr>
        <w:tabs>
          <w:tab w:val="clear" w:pos="709"/>
          <w:tab w:val="left" w:pos="1532"/>
        </w:tabs>
        <w:suppressAutoHyphens w:val="0"/>
        <w:spacing w:after="0" w:line="480" w:lineRule="exact"/>
        <w:ind w:left="260" w:right="260" w:firstLine="780"/>
        <w:jc w:val="left"/>
        <w:rPr>
          <w:rFonts w:ascii="Arial Unicode MS" w:eastAsia="Arial Unicode MS" w:hAnsi="Arial Unicode MS" w:cs="Arial Unicode MS"/>
          <w:color w:val="000000"/>
          <w:kern w:val="0"/>
          <w:sz w:val="24"/>
          <w:szCs w:val="24"/>
          <w:lang w:val="uk-UA" w:eastAsia="uk-UA" w:bidi="uk-UA"/>
        </w:rPr>
      </w:pPr>
      <w:r w:rsidRPr="007573CE">
        <w:rPr>
          <w:rFonts w:ascii="Arial Unicode MS" w:eastAsia="Arial Unicode MS" w:hAnsi="Arial Unicode MS" w:cs="Arial Unicode MS"/>
          <w:color w:val="000000"/>
          <w:kern w:val="0"/>
          <w:sz w:val="24"/>
          <w:szCs w:val="24"/>
          <w:lang w:val="uk-UA" w:eastAsia="uk-UA" w:bidi="uk-UA"/>
        </w:rPr>
        <w:t>На основі проведеного дослідження встановлено, що рейтингова оцінка страхових компаній за рівнем фінансової стійкості необхідна для того, щоб визначити фінансовий стан і перспективи розвитку компанії, адже рейтинг є індикатором ділової активності, адекватно відображає кон’юнктурну ситуацію і дозволяє зробити точний прогноз змін, що відбуваються на ринку. Запропонована рейтингова оцінка фінансової стійкості страхових компаній є одним із варіантів доступного інструментарію щодо перевірки фінансового стану страховиків. На відміну від тестів раннього попередження, така інтегральна оцінка призначена для перевірки сукупності об’єктів дослідження, потребує формування бази показників діяльності страхових компаній для порівняння. Запропонована рейтингова оцінка може бути корисною як для державних органів, що зможуть побудувати загальний рейтинг українських страховиків за рівнем фінансової стійкості, так і для страхувальників, які з-поміж кількох страхових компаній зможуть обрати для співпраці найбільш фінансово стійку.</w:t>
      </w:r>
    </w:p>
    <w:p w:rsidR="007573CE" w:rsidRDefault="007573CE" w:rsidP="007573CE">
      <w:pPr>
        <w:rPr>
          <w:rFonts w:ascii="Arial Unicode MS" w:eastAsia="Arial Unicode MS" w:hAnsi="Arial Unicode MS" w:cs="Arial Unicode MS"/>
          <w:color w:val="000000"/>
          <w:kern w:val="0"/>
          <w:sz w:val="24"/>
          <w:szCs w:val="24"/>
          <w:lang w:val="uk-UA" w:eastAsia="uk-UA" w:bidi="uk-UA"/>
        </w:rPr>
      </w:pPr>
      <w:r w:rsidRPr="007573CE">
        <w:rPr>
          <w:rFonts w:ascii="Arial Unicode MS" w:eastAsia="Arial Unicode MS" w:hAnsi="Arial Unicode MS" w:cs="Arial Unicode MS"/>
          <w:color w:val="000000"/>
          <w:kern w:val="0"/>
          <w:sz w:val="24"/>
          <w:szCs w:val="24"/>
          <w:lang w:val="uk-UA" w:eastAsia="uk-UA" w:bidi="uk-UA"/>
        </w:rPr>
        <w:t>В якості інструменту прогнозування фінансової стійкості страхових компаній запропоновано використовувати стрес-тестування, що дозволяє враховувати різні сценарії зміни внутрішнього та зовнішнього середовища, передбачати можливий фінансовий стан страховика та, за потреби, застосовувати відповідні заходи, адже страхові компанії, що приділяють належну увагу розвитку практики стрес-тестування та використання результатів стрес-тестів при розробленні та прийнятті стратегічних рішень, отримують можливість бути готовими до несприятливих ситуацій і більш успішно долати наслідки світової фінансової кризи.</w:t>
      </w:r>
    </w:p>
    <w:p w:rsidR="009A1128" w:rsidRDefault="009A1128" w:rsidP="007573CE">
      <w:pPr>
        <w:rPr>
          <w:rFonts w:ascii="Arial Unicode MS" w:eastAsia="Arial Unicode MS" w:hAnsi="Arial Unicode MS" w:cs="Arial Unicode MS"/>
          <w:color w:val="000000"/>
          <w:kern w:val="0"/>
          <w:sz w:val="24"/>
          <w:szCs w:val="24"/>
          <w:lang w:val="uk-UA" w:eastAsia="uk-UA" w:bidi="uk-UA"/>
        </w:rPr>
      </w:pPr>
    </w:p>
    <w:p w:rsidR="009A1128" w:rsidRDefault="009A1128" w:rsidP="007573CE">
      <w:pPr>
        <w:rPr>
          <w:rFonts w:ascii="Arial Unicode MS" w:eastAsia="Arial Unicode MS" w:hAnsi="Arial Unicode MS" w:cs="Arial Unicode MS"/>
          <w:color w:val="000000"/>
          <w:kern w:val="0"/>
          <w:sz w:val="24"/>
          <w:szCs w:val="24"/>
          <w:lang w:val="uk-UA" w:eastAsia="uk-UA" w:bidi="uk-UA"/>
        </w:rPr>
      </w:pPr>
    </w:p>
    <w:p w:rsidR="009A1128" w:rsidRDefault="009A1128" w:rsidP="007573CE">
      <w:pPr>
        <w:rPr>
          <w:rFonts w:ascii="Arial Unicode MS" w:eastAsia="Arial Unicode MS" w:hAnsi="Arial Unicode MS" w:cs="Arial Unicode MS"/>
          <w:color w:val="000000"/>
          <w:kern w:val="0"/>
          <w:sz w:val="24"/>
          <w:szCs w:val="24"/>
          <w:lang w:val="uk-UA" w:eastAsia="uk-UA" w:bidi="uk-UA"/>
        </w:rPr>
      </w:pPr>
    </w:p>
    <w:p w:rsidR="009A1128" w:rsidRDefault="009A1128" w:rsidP="007573CE">
      <w:pPr>
        <w:rPr>
          <w:rFonts w:ascii="Arial Unicode MS" w:eastAsia="Arial Unicode MS" w:hAnsi="Arial Unicode MS" w:cs="Arial Unicode MS"/>
          <w:color w:val="000000"/>
          <w:kern w:val="0"/>
          <w:sz w:val="24"/>
          <w:szCs w:val="24"/>
          <w:lang w:val="uk-UA" w:eastAsia="uk-UA" w:bidi="uk-UA"/>
        </w:rPr>
      </w:pPr>
    </w:p>
    <w:p w:rsidR="009A1128" w:rsidRDefault="009A1128" w:rsidP="009A1128">
      <w:pPr>
        <w:pStyle w:val="326"/>
        <w:keepNext/>
        <w:keepLines/>
        <w:shd w:val="clear" w:color="auto" w:fill="auto"/>
        <w:spacing w:after="966" w:line="260" w:lineRule="exact"/>
        <w:ind w:left="432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9A1128" w:rsidRDefault="009A1128" w:rsidP="009A1128">
      <w:pPr>
        <w:spacing w:after="0"/>
        <w:ind w:left="240" w:right="260" w:firstLine="44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9A1128" w:rsidRDefault="009A1128" w:rsidP="009A1128">
      <w:pPr>
        <w:numPr>
          <w:ilvl w:val="0"/>
          <w:numId w:val="42"/>
        </w:numPr>
        <w:tabs>
          <w:tab w:val="clear" w:pos="709"/>
          <w:tab w:val="left" w:pos="1516"/>
        </w:tabs>
        <w:suppressAutoHyphens w:val="0"/>
        <w:spacing w:after="0" w:line="480" w:lineRule="exact"/>
        <w:ind w:left="240" w:right="260" w:firstLine="80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9A1128" w:rsidRDefault="009A1128" w:rsidP="009A1128">
      <w:pPr>
        <w:numPr>
          <w:ilvl w:val="0"/>
          <w:numId w:val="42"/>
        </w:numPr>
        <w:tabs>
          <w:tab w:val="clear" w:pos="709"/>
          <w:tab w:val="left" w:pos="1516"/>
        </w:tabs>
        <w:suppressAutoHyphens w:val="0"/>
        <w:spacing w:after="0" w:line="480" w:lineRule="exact"/>
        <w:ind w:left="240" w:right="260" w:firstLine="80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9A1128" w:rsidRDefault="009A1128" w:rsidP="009A1128">
      <w:pPr>
        <w:numPr>
          <w:ilvl w:val="0"/>
          <w:numId w:val="42"/>
        </w:numPr>
        <w:tabs>
          <w:tab w:val="clear" w:pos="709"/>
          <w:tab w:val="left" w:pos="1516"/>
        </w:tabs>
        <w:suppressAutoHyphens w:val="0"/>
        <w:spacing w:after="0" w:line="480" w:lineRule="exact"/>
        <w:ind w:left="240" w:right="260" w:firstLine="80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9A1128" w:rsidRDefault="009A1128" w:rsidP="009A1128">
      <w:pPr>
        <w:numPr>
          <w:ilvl w:val="0"/>
          <w:numId w:val="42"/>
        </w:numPr>
        <w:tabs>
          <w:tab w:val="clear" w:pos="709"/>
          <w:tab w:val="left" w:pos="1516"/>
        </w:tabs>
        <w:suppressAutoHyphens w:val="0"/>
        <w:spacing w:after="0" w:line="480" w:lineRule="exact"/>
        <w:ind w:left="240" w:right="260" w:firstLine="80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9A1128" w:rsidRDefault="009A1128" w:rsidP="009A1128">
      <w:pPr>
        <w:numPr>
          <w:ilvl w:val="0"/>
          <w:numId w:val="42"/>
        </w:numPr>
        <w:tabs>
          <w:tab w:val="clear" w:pos="709"/>
          <w:tab w:val="left" w:pos="1537"/>
        </w:tabs>
        <w:suppressAutoHyphens w:val="0"/>
        <w:spacing w:after="0" w:line="480" w:lineRule="exact"/>
        <w:ind w:left="260" w:right="260" w:firstLine="78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9A1128" w:rsidRDefault="009A1128" w:rsidP="009A1128">
      <w:pPr>
        <w:numPr>
          <w:ilvl w:val="0"/>
          <w:numId w:val="42"/>
        </w:numPr>
        <w:tabs>
          <w:tab w:val="clear" w:pos="709"/>
          <w:tab w:val="left" w:pos="1537"/>
        </w:tabs>
        <w:suppressAutoHyphens w:val="0"/>
        <w:spacing w:after="0" w:line="480" w:lineRule="exact"/>
        <w:ind w:left="260" w:right="260" w:firstLine="78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val="en-US" w:eastAsia="en-US" w:bidi="en-US"/>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9A1128" w:rsidRDefault="009A1128" w:rsidP="009A1128">
      <w:pPr>
        <w:numPr>
          <w:ilvl w:val="0"/>
          <w:numId w:val="42"/>
        </w:numPr>
        <w:tabs>
          <w:tab w:val="clear" w:pos="709"/>
          <w:tab w:val="left" w:pos="1532"/>
        </w:tabs>
        <w:suppressAutoHyphens w:val="0"/>
        <w:spacing w:after="0" w:line="480" w:lineRule="exact"/>
        <w:ind w:left="260" w:right="260" w:firstLine="78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9A1128" w:rsidRDefault="009A1128" w:rsidP="009A1128">
      <w:pPr>
        <w:numPr>
          <w:ilvl w:val="0"/>
          <w:numId w:val="42"/>
        </w:numPr>
        <w:tabs>
          <w:tab w:val="clear" w:pos="709"/>
          <w:tab w:val="left" w:pos="1532"/>
        </w:tabs>
        <w:suppressAutoHyphens w:val="0"/>
        <w:spacing w:after="0" w:line="480" w:lineRule="exact"/>
        <w:ind w:left="260" w:right="260" w:firstLine="78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9A1128" w:rsidRPr="007573CE" w:rsidRDefault="009A1128" w:rsidP="009A1128">
      <w:pPr>
        <w:rPr>
          <w:lang w:val="uk-UA"/>
        </w:rPr>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sectPr w:rsidR="009A1128" w:rsidRPr="007573C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205" w:rsidRDefault="00C60205">
      <w:pPr>
        <w:spacing w:after="0" w:line="240" w:lineRule="auto"/>
      </w:pPr>
      <w:r>
        <w:separator/>
      </w:r>
    </w:p>
  </w:endnote>
  <w:endnote w:type="continuationSeparator" w:id="0">
    <w:p w:rsidR="00C60205" w:rsidRDefault="00C60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AF3882">
    <w:pPr>
      <w:rPr>
        <w:sz w:val="2"/>
        <w:szCs w:val="2"/>
      </w:rPr>
    </w:pPr>
    <w:r w:rsidRPr="00AF388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60205" w:rsidRDefault="00AF3882">
                <w:pPr>
                  <w:spacing w:line="240" w:lineRule="auto"/>
                </w:pPr>
                <w:fldSimple w:instr=" PAGE \* MERGEFORMAT ">
                  <w:r w:rsidR="00C60205">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AF3882">
    <w:pPr>
      <w:rPr>
        <w:sz w:val="2"/>
        <w:szCs w:val="2"/>
      </w:rPr>
    </w:pPr>
    <w:r w:rsidRPr="00AF388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60205" w:rsidRDefault="00AF3882">
                <w:pPr>
                  <w:spacing w:line="240" w:lineRule="auto"/>
                </w:pPr>
                <w:fldSimple w:instr=" PAGE \* MERGEFORMAT ">
                  <w:r w:rsidR="009A1128" w:rsidRPr="009A1128">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205" w:rsidRDefault="00C60205"/>
    <w:p w:rsidR="00C60205" w:rsidRDefault="00C60205"/>
    <w:p w:rsidR="00C60205" w:rsidRDefault="00C60205"/>
    <w:p w:rsidR="00C60205" w:rsidRDefault="00C60205"/>
    <w:p w:rsidR="00C60205" w:rsidRDefault="00C60205"/>
    <w:p w:rsidR="00C60205" w:rsidRDefault="00C60205"/>
    <w:p w:rsidR="00C60205" w:rsidRDefault="00AF3882">
      <w:pPr>
        <w:rPr>
          <w:sz w:val="2"/>
          <w:szCs w:val="2"/>
        </w:rPr>
      </w:pPr>
      <w:r w:rsidRPr="00AF388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60205" w:rsidRDefault="00AF3882">
                  <w:pPr>
                    <w:spacing w:line="240" w:lineRule="auto"/>
                  </w:pPr>
                  <w:fldSimple w:instr=" PAGE \* MERGEFORMAT ">
                    <w:r w:rsidR="00C60205" w:rsidRPr="004F4EC5">
                      <w:rPr>
                        <w:rStyle w:val="afffff9"/>
                        <w:b w:val="0"/>
                        <w:bCs w:val="0"/>
                        <w:noProof/>
                      </w:rPr>
                      <w:t>15</w:t>
                    </w:r>
                  </w:fldSimple>
                </w:p>
              </w:txbxContent>
            </v:textbox>
            <w10:wrap anchorx="page" anchory="page"/>
          </v:shape>
        </w:pict>
      </w:r>
    </w:p>
    <w:p w:rsidR="00C60205" w:rsidRDefault="00C60205"/>
    <w:p w:rsidR="00C60205" w:rsidRDefault="00C60205"/>
    <w:p w:rsidR="00C60205" w:rsidRDefault="00AF3882">
      <w:pPr>
        <w:rPr>
          <w:sz w:val="2"/>
          <w:szCs w:val="2"/>
        </w:rPr>
      </w:pPr>
      <w:r w:rsidRPr="00AF388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60205" w:rsidRDefault="00C60205"/>
                <w:p w:rsidR="00C60205" w:rsidRDefault="00AF3882">
                  <w:pPr>
                    <w:pStyle w:val="1ffffff7"/>
                    <w:spacing w:line="240" w:lineRule="auto"/>
                  </w:pPr>
                  <w:fldSimple w:instr=" PAGE \* MERGEFORMAT ">
                    <w:r w:rsidR="00C60205" w:rsidRPr="004F4EC5">
                      <w:rPr>
                        <w:rStyle w:val="3b"/>
                        <w:noProof/>
                      </w:rPr>
                      <w:t>15</w:t>
                    </w:r>
                  </w:fldSimple>
                </w:p>
              </w:txbxContent>
            </v:textbox>
            <w10:wrap anchorx="page" anchory="page"/>
          </v:shape>
        </w:pict>
      </w:r>
    </w:p>
    <w:p w:rsidR="00C60205" w:rsidRDefault="00C60205"/>
    <w:p w:rsidR="00C60205" w:rsidRDefault="00C60205">
      <w:pPr>
        <w:rPr>
          <w:sz w:val="2"/>
          <w:szCs w:val="2"/>
        </w:rPr>
      </w:pPr>
    </w:p>
    <w:p w:rsidR="00C60205" w:rsidRDefault="00C60205"/>
    <w:p w:rsidR="00C60205" w:rsidRDefault="00C60205">
      <w:pPr>
        <w:spacing w:after="0" w:line="240" w:lineRule="auto"/>
      </w:pPr>
    </w:p>
  </w:footnote>
  <w:footnote w:type="continuationSeparator" w:id="0">
    <w:p w:rsidR="00C60205" w:rsidRDefault="00C60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 w:rsidR="00C60205" w:rsidRDefault="00C6020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Pr="005856C0" w:rsidRDefault="00C602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B85321"/>
    <w:multiLevelType w:val="hybridMultilevel"/>
    <w:tmpl w:val="E6807F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0FD2461"/>
    <w:multiLevelType w:val="hybridMultilevel"/>
    <w:tmpl w:val="CD26BD6E"/>
    <w:lvl w:ilvl="0" w:tplc="B29C882E">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1B5B85"/>
    <w:multiLevelType w:val="hybridMultilevel"/>
    <w:tmpl w:val="8C668E6A"/>
    <w:lvl w:ilvl="0" w:tplc="7236E3D8">
      <w:start w:val="1"/>
      <w:numFmt w:val="decimal"/>
      <w:lvlText w:val="%1."/>
      <w:lvlJc w:val="left"/>
      <w:pPr>
        <w:ind w:left="862"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282926"/>
    <w:multiLevelType w:val="multilevel"/>
    <w:tmpl w:val="2C66A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BD47BE1"/>
    <w:multiLevelType w:val="multilevel"/>
    <w:tmpl w:val="8C0889C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C32393"/>
    <w:multiLevelType w:val="hybridMultilevel"/>
    <w:tmpl w:val="D248C964"/>
    <w:lvl w:ilvl="0" w:tplc="76203C38">
      <w:start w:val="1"/>
      <w:numFmt w:val="decimal"/>
      <w:lvlText w:val="%1."/>
      <w:lvlJc w:val="left"/>
      <w:pPr>
        <w:ind w:left="644" w:hanging="360"/>
      </w:pPr>
      <w:rPr>
        <w:b w:val="0"/>
        <w:i w:val="0"/>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772C6A"/>
    <w:multiLevelType w:val="multilevel"/>
    <w:tmpl w:val="2C66A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16F15138"/>
    <w:multiLevelType w:val="hybridMultilevel"/>
    <w:tmpl w:val="5622E1AE"/>
    <w:lvl w:ilvl="0" w:tplc="274CE338">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8">
    <w:nsid w:val="1DAF7D4F"/>
    <w:multiLevelType w:val="hybridMultilevel"/>
    <w:tmpl w:val="0B482156"/>
    <w:lvl w:ilvl="0" w:tplc="2E84FC58">
      <w:start w:val="1"/>
      <w:numFmt w:val="bullet"/>
      <w:lvlText w:val="-"/>
      <w:lvlJc w:val="left"/>
      <w:pPr>
        <w:tabs>
          <w:tab w:val="num" w:pos="720"/>
        </w:tabs>
        <w:ind w:left="720" w:hanging="360"/>
      </w:pPr>
      <w:rPr>
        <w:rFonts w:ascii="Times New Roman" w:hAnsi="Times New Roman" w:hint="default"/>
        <w:b/>
        <w:i w:val="0"/>
        <w:caps w:val="0"/>
        <w:strike w:val="0"/>
        <w:dstrike w:val="0"/>
        <w:vanish w:val="0"/>
        <w:color w:val="000000"/>
        <w:sz w:val="28"/>
        <w:szCs w:val="28"/>
        <w:vertAlign w:val="baseline"/>
      </w:rPr>
    </w:lvl>
    <w:lvl w:ilvl="1" w:tplc="45ECE808">
      <w:numFmt w:val="bullet"/>
      <w:lvlText w:val="•"/>
      <w:lvlJc w:val="left"/>
      <w:pPr>
        <w:ind w:left="1770" w:hanging="690"/>
      </w:pPr>
      <w:rPr>
        <w:rFonts w:ascii="Times New Roman" w:eastAsia="Times New Roman" w:hAnsi="Times New Roman" w:cs="Times New Roman" w:hint="default"/>
      </w:rPr>
    </w:lvl>
    <w:lvl w:ilvl="2" w:tplc="2E84FC58">
      <w:start w:val="1"/>
      <w:numFmt w:val="bullet"/>
      <w:lvlText w:val="-"/>
      <w:lvlJc w:val="left"/>
      <w:pPr>
        <w:tabs>
          <w:tab w:val="num" w:pos="2160"/>
        </w:tabs>
        <w:ind w:left="2160" w:hanging="360"/>
      </w:pPr>
      <w:rPr>
        <w:rFonts w:ascii="Times New Roman" w:hAnsi="Times New Roman" w:hint="default"/>
        <w:b/>
        <w:i w:val="0"/>
        <w:caps w:val="0"/>
        <w:strike w:val="0"/>
        <w:dstrike w:val="0"/>
        <w:vanish w:val="0"/>
        <w:color w:val="000000"/>
        <w:sz w:val="28"/>
        <w:szCs w:val="28"/>
        <w:vertAlign w:val="baseline"/>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20407A4C"/>
    <w:multiLevelType w:val="hybridMultilevel"/>
    <w:tmpl w:val="0EF2B10E"/>
    <w:lvl w:ilvl="0" w:tplc="10584D62">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7227463"/>
    <w:multiLevelType w:val="hybridMultilevel"/>
    <w:tmpl w:val="D248C964"/>
    <w:lvl w:ilvl="0" w:tplc="76203C38">
      <w:start w:val="1"/>
      <w:numFmt w:val="decimal"/>
      <w:lvlText w:val="%1."/>
      <w:lvlJc w:val="left"/>
      <w:pPr>
        <w:ind w:left="644" w:hanging="360"/>
      </w:pPr>
      <w:rPr>
        <w:b w:val="0"/>
        <w:i w:val="0"/>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2">
    <w:nsid w:val="28904EAC"/>
    <w:multiLevelType w:val="hybridMultilevel"/>
    <w:tmpl w:val="DCB4858C"/>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93">
    <w:nsid w:val="2B907355"/>
    <w:multiLevelType w:val="multilevel"/>
    <w:tmpl w:val="A412F8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F824D88"/>
    <w:multiLevelType w:val="hybridMultilevel"/>
    <w:tmpl w:val="26329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nsid w:val="36812A0C"/>
    <w:multiLevelType w:val="hybridMultilevel"/>
    <w:tmpl w:val="D248C964"/>
    <w:lvl w:ilvl="0" w:tplc="76203C38">
      <w:start w:val="1"/>
      <w:numFmt w:val="decimal"/>
      <w:lvlText w:val="%1."/>
      <w:lvlJc w:val="left"/>
      <w:pPr>
        <w:ind w:left="644" w:hanging="360"/>
      </w:pPr>
      <w:rPr>
        <w:b w:val="0"/>
        <w:i w:val="0"/>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6">
    <w:nsid w:val="3F0B4D4B"/>
    <w:multiLevelType w:val="hybridMultilevel"/>
    <w:tmpl w:val="E90CF3AA"/>
    <w:lvl w:ilvl="0" w:tplc="2E84FC58">
      <w:start w:val="1"/>
      <w:numFmt w:val="bullet"/>
      <w:lvlText w:val="-"/>
      <w:lvlJc w:val="left"/>
      <w:pPr>
        <w:ind w:left="1428" w:hanging="360"/>
      </w:pPr>
      <w:rPr>
        <w:rFonts w:ascii="Times New Roman" w:hAnsi="Times New Roman" w:hint="default"/>
        <w:b/>
        <w:i w:val="0"/>
        <w:caps w:val="0"/>
        <w:strike w:val="0"/>
        <w:dstrike w:val="0"/>
        <w:vanish w:val="0"/>
        <w:color w:val="000000"/>
        <w:sz w:val="28"/>
        <w:szCs w:val="28"/>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7">
    <w:nsid w:val="3FCE705E"/>
    <w:multiLevelType w:val="multilevel"/>
    <w:tmpl w:val="1FAC8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865B9D"/>
    <w:multiLevelType w:val="hybridMultilevel"/>
    <w:tmpl w:val="B80C2E32"/>
    <w:lvl w:ilvl="0" w:tplc="9EAE186E">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9">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00">
    <w:nsid w:val="46207192"/>
    <w:multiLevelType w:val="multilevel"/>
    <w:tmpl w:val="9CC002A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B6815EA"/>
    <w:multiLevelType w:val="hybridMultilevel"/>
    <w:tmpl w:val="B4B29648"/>
    <w:lvl w:ilvl="0" w:tplc="6BFAC1EE">
      <w:start w:val="1"/>
      <w:numFmt w:val="decimal"/>
      <w:lvlText w:val="%1."/>
      <w:lvlJc w:val="left"/>
      <w:pPr>
        <w:tabs>
          <w:tab w:val="num" w:pos="0"/>
        </w:tabs>
        <w:ind w:left="0" w:firstLine="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4E817A12"/>
    <w:multiLevelType w:val="multilevel"/>
    <w:tmpl w:val="A0904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45809E7"/>
    <w:multiLevelType w:val="hybridMultilevel"/>
    <w:tmpl w:val="0C38FD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57A757D8"/>
    <w:multiLevelType w:val="hybridMultilevel"/>
    <w:tmpl w:val="6AC2267A"/>
    <w:lvl w:ilvl="0" w:tplc="3D0447E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83E0099"/>
    <w:multiLevelType w:val="hybridMultilevel"/>
    <w:tmpl w:val="D248C964"/>
    <w:lvl w:ilvl="0" w:tplc="76203C38">
      <w:start w:val="1"/>
      <w:numFmt w:val="decimal"/>
      <w:lvlText w:val="%1."/>
      <w:lvlJc w:val="left"/>
      <w:pPr>
        <w:ind w:left="644" w:hanging="360"/>
      </w:pPr>
      <w:rPr>
        <w:b w:val="0"/>
        <w:i w:val="0"/>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6">
    <w:nsid w:val="5F602209"/>
    <w:multiLevelType w:val="multilevel"/>
    <w:tmpl w:val="F1F2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481558"/>
    <w:multiLevelType w:val="hybridMultilevel"/>
    <w:tmpl w:val="468A7494"/>
    <w:lvl w:ilvl="0" w:tplc="B1EE9C1E">
      <w:start w:val="1"/>
      <w:numFmt w:val="decimal"/>
      <w:lvlText w:val="%1."/>
      <w:lvlJc w:val="left"/>
      <w:pPr>
        <w:ind w:left="644" w:hanging="360"/>
      </w:pPr>
      <w:rPr>
        <w:b w:val="0"/>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8">
    <w:nsid w:val="67987B5E"/>
    <w:multiLevelType w:val="hybridMultilevel"/>
    <w:tmpl w:val="3252B990"/>
    <w:lvl w:ilvl="0" w:tplc="274CE338">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9">
    <w:nsid w:val="69A77BDB"/>
    <w:multiLevelType w:val="multilevel"/>
    <w:tmpl w:val="9FE24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AC43C75"/>
    <w:multiLevelType w:val="multilevel"/>
    <w:tmpl w:val="46767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AC54DF4"/>
    <w:multiLevelType w:val="multilevel"/>
    <w:tmpl w:val="980CAF8A"/>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B600D49"/>
    <w:multiLevelType w:val="multilevel"/>
    <w:tmpl w:val="D67AC69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D994D4E"/>
    <w:multiLevelType w:val="multilevel"/>
    <w:tmpl w:val="BD88AD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DAF12AD"/>
    <w:multiLevelType w:val="multilevel"/>
    <w:tmpl w:val="3432B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DB915DC"/>
    <w:multiLevelType w:val="hybridMultilevel"/>
    <w:tmpl w:val="59A6AE02"/>
    <w:lvl w:ilvl="0" w:tplc="1E588882">
      <w:start w:val="1"/>
      <w:numFmt w:val="decimal"/>
      <w:lvlText w:val="%1."/>
      <w:lvlJc w:val="left"/>
      <w:pPr>
        <w:tabs>
          <w:tab w:val="num" w:pos="0"/>
        </w:tabs>
        <w:ind w:left="0" w:firstLine="0"/>
      </w:pPr>
      <w:rPr>
        <w:rFonts w:ascii="Times New Roman" w:hAnsi="Times New Roman" w:hint="default"/>
        <w:b w:val="0"/>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6F667341"/>
    <w:multiLevelType w:val="hybridMultilevel"/>
    <w:tmpl w:val="D248C964"/>
    <w:lvl w:ilvl="0" w:tplc="76203C38">
      <w:start w:val="1"/>
      <w:numFmt w:val="decimal"/>
      <w:lvlText w:val="%1."/>
      <w:lvlJc w:val="left"/>
      <w:pPr>
        <w:ind w:left="644" w:hanging="360"/>
      </w:pPr>
      <w:rPr>
        <w:b w:val="0"/>
        <w:i w:val="0"/>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8">
    <w:nsid w:val="719957AC"/>
    <w:multiLevelType w:val="hybridMultilevel"/>
    <w:tmpl w:val="02583BF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78C14521"/>
    <w:multiLevelType w:val="hybridMultilevel"/>
    <w:tmpl w:val="80908D76"/>
    <w:lvl w:ilvl="0" w:tplc="2E84FC58">
      <w:start w:val="1"/>
      <w:numFmt w:val="bullet"/>
      <w:lvlText w:val="-"/>
      <w:lvlJc w:val="left"/>
      <w:pPr>
        <w:tabs>
          <w:tab w:val="num" w:pos="720"/>
        </w:tabs>
        <w:ind w:left="720" w:hanging="360"/>
      </w:pPr>
      <w:rPr>
        <w:rFonts w:ascii="Times New Roman" w:hAnsi="Times New Roman" w:hint="default"/>
        <w:b/>
        <w:i w:val="0"/>
        <w:caps w:val="0"/>
        <w:strike w:val="0"/>
        <w:dstrike w:val="0"/>
        <w:vanish w:val="0"/>
        <w:color w:val="000000"/>
        <w:sz w:val="28"/>
        <w:szCs w:val="28"/>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7AAD1BF0"/>
    <w:multiLevelType w:val="hybridMultilevel"/>
    <w:tmpl w:val="052600C0"/>
    <w:lvl w:ilvl="0" w:tplc="274CE33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9"/>
  </w:num>
  <w:num w:numId="7">
    <w:abstractNumId w:val="115"/>
  </w:num>
  <w:num w:numId="8">
    <w:abstractNumId w:val="101"/>
  </w:num>
  <w:num w:numId="9">
    <w:abstractNumId w:val="92"/>
  </w:num>
  <w:num w:numId="10">
    <w:abstractNumId w:val="118"/>
  </w:num>
  <w:num w:numId="11">
    <w:abstractNumId w:val="119"/>
  </w:num>
  <w:num w:numId="12">
    <w:abstractNumId w:val="98"/>
  </w:num>
  <w:num w:numId="13">
    <w:abstractNumId w:val="108"/>
  </w:num>
  <w:num w:numId="14">
    <w:abstractNumId w:val="87"/>
  </w:num>
  <w:num w:numId="15">
    <w:abstractNumId w:val="96"/>
  </w:num>
  <w:num w:numId="16">
    <w:abstractNumId w:val="91"/>
  </w:num>
  <w:num w:numId="17">
    <w:abstractNumId w:val="73"/>
  </w:num>
  <w:num w:numId="18">
    <w:abstractNumId w:val="94"/>
  </w:num>
  <w:num w:numId="19">
    <w:abstractNumId w:val="67"/>
  </w:num>
  <w:num w:numId="20">
    <w:abstractNumId w:val="107"/>
  </w:num>
  <w:num w:numId="21">
    <w:abstractNumId w:val="104"/>
  </w:num>
  <w:num w:numId="22">
    <w:abstractNumId w:val="88"/>
  </w:num>
  <w:num w:numId="23">
    <w:abstractNumId w:val="116"/>
  </w:num>
  <w:num w:numId="24">
    <w:abstractNumId w:val="95"/>
  </w:num>
  <w:num w:numId="25">
    <w:abstractNumId w:val="81"/>
  </w:num>
  <w:num w:numId="26">
    <w:abstractNumId w:val="105"/>
  </w:num>
  <w:num w:numId="27">
    <w:abstractNumId w:val="65"/>
  </w:num>
  <w:num w:numId="28">
    <w:abstractNumId w:val="120"/>
  </w:num>
  <w:num w:numId="29">
    <w:abstractNumId w:val="103"/>
  </w:num>
  <w:num w:numId="30">
    <w:abstractNumId w:val="112"/>
  </w:num>
  <w:num w:numId="31">
    <w:abstractNumId w:val="113"/>
  </w:num>
  <w:num w:numId="32">
    <w:abstractNumId w:val="111"/>
  </w:num>
  <w:num w:numId="33">
    <w:abstractNumId w:val="106"/>
  </w:num>
  <w:num w:numId="34">
    <w:abstractNumId w:val="110"/>
  </w:num>
  <w:num w:numId="35">
    <w:abstractNumId w:val="109"/>
  </w:num>
  <w:num w:numId="36">
    <w:abstractNumId w:val="102"/>
  </w:num>
  <w:num w:numId="37">
    <w:abstractNumId w:val="97"/>
  </w:num>
  <w:num w:numId="38">
    <w:abstractNumId w:val="100"/>
  </w:num>
  <w:num w:numId="39">
    <w:abstractNumId w:val="80"/>
  </w:num>
  <w:num w:numId="40">
    <w:abstractNumId w:val="114"/>
  </w:num>
  <w:num w:numId="41">
    <w:abstractNumId w:val="93"/>
  </w:num>
  <w:num w:numId="42">
    <w:abstractNumId w:val="83"/>
  </w:num>
  <w:num w:numId="43">
    <w:abstractNumId w:val="7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14C8F-CD64-445A-A250-9A3C7C54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18</Pages>
  <Words>4739</Words>
  <Characters>27013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2021-10-02T20:15:00Z</dcterms:created>
  <dcterms:modified xsi:type="dcterms:W3CDTF">2021-10-03T17:22:00Z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