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BE85" w14:textId="77777777" w:rsidR="0014203A" w:rsidRDefault="0014203A" w:rsidP="0014203A">
      <w:pPr>
        <w:pStyle w:val="afffffffffffffffffffffffffff5"/>
        <w:rPr>
          <w:rFonts w:ascii="Verdana" w:hAnsi="Verdana"/>
          <w:color w:val="000000"/>
          <w:sz w:val="21"/>
          <w:szCs w:val="21"/>
        </w:rPr>
      </w:pPr>
      <w:r>
        <w:rPr>
          <w:rFonts w:ascii="Helvetica" w:hAnsi="Helvetica" w:cs="Helvetica"/>
          <w:b/>
          <w:bCs w:val="0"/>
          <w:color w:val="222222"/>
          <w:sz w:val="21"/>
          <w:szCs w:val="21"/>
        </w:rPr>
        <w:t>Рослый, Алексей Андреевич.</w:t>
      </w:r>
    </w:p>
    <w:p w14:paraId="16F5BE46" w14:textId="77777777" w:rsidR="0014203A" w:rsidRDefault="0014203A" w:rsidP="0014203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Геометрия супергравитации и суперкалибровочных </w:t>
      </w:r>
      <w:proofErr w:type="gramStart"/>
      <w:r>
        <w:rPr>
          <w:rFonts w:ascii="Helvetica" w:hAnsi="Helvetica" w:cs="Helvetica"/>
          <w:caps/>
          <w:color w:val="222222"/>
          <w:sz w:val="21"/>
          <w:szCs w:val="21"/>
        </w:rPr>
        <w:t>теорий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1983. - 142 с.</w:t>
      </w:r>
    </w:p>
    <w:p w14:paraId="6C91419E" w14:textId="77777777" w:rsidR="0014203A" w:rsidRDefault="0014203A" w:rsidP="0014203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Рослый, Алексей Андреевич</w:t>
      </w:r>
    </w:p>
    <w:p w14:paraId="1B8F4176"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1CF1778"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ГЕОМЕТРИЯ СУПЕРГРАВИТАЦИИ</w:t>
      </w:r>
    </w:p>
    <w:p w14:paraId="60C43AFF"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Поле </w:t>
      </w:r>
      <w:proofErr w:type="spellStart"/>
      <w:r>
        <w:rPr>
          <w:rFonts w:ascii="Arial" w:hAnsi="Arial" w:cs="Arial"/>
          <w:color w:val="333333"/>
          <w:sz w:val="21"/>
          <w:szCs w:val="21"/>
        </w:rPr>
        <w:t>супергравитации</w:t>
      </w:r>
      <w:proofErr w:type="spellEnd"/>
      <w:r>
        <w:rPr>
          <w:rFonts w:ascii="Arial" w:hAnsi="Arial" w:cs="Arial"/>
          <w:color w:val="333333"/>
          <w:sz w:val="21"/>
          <w:szCs w:val="21"/>
        </w:rPr>
        <w:t xml:space="preserve"> как правильная поверхность в комплексном пространстве</w:t>
      </w:r>
    </w:p>
    <w:p w14:paraId="631831C2"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1.2. Формулировка </w:t>
      </w:r>
      <w:proofErr w:type="spellStart"/>
      <w:r>
        <w:rPr>
          <w:rFonts w:ascii="Arial" w:hAnsi="Arial" w:cs="Arial"/>
          <w:color w:val="333333"/>
          <w:sz w:val="21"/>
          <w:szCs w:val="21"/>
        </w:rPr>
        <w:t>супергравитации</w:t>
      </w:r>
      <w:proofErr w:type="spellEnd"/>
      <w:r>
        <w:rPr>
          <w:rFonts w:ascii="Arial" w:hAnsi="Arial" w:cs="Arial"/>
          <w:color w:val="333333"/>
          <w:sz w:val="21"/>
          <w:szCs w:val="21"/>
        </w:rPr>
        <w:t xml:space="preserve"> на основе понятия индуцированной геометрии</w:t>
      </w:r>
    </w:p>
    <w:p w14:paraId="3239D99C"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1.3. Переход к формулировкам типа </w:t>
      </w:r>
      <w:proofErr w:type="spellStart"/>
      <w:r>
        <w:rPr>
          <w:rFonts w:ascii="Arial" w:hAnsi="Arial" w:cs="Arial"/>
          <w:color w:val="333333"/>
          <w:sz w:val="21"/>
          <w:szCs w:val="21"/>
        </w:rPr>
        <w:t>Весса-Зумино</w:t>
      </w:r>
      <w:proofErr w:type="spellEnd"/>
      <w:r>
        <w:rPr>
          <w:rFonts w:ascii="Arial" w:hAnsi="Arial" w:cs="Arial"/>
          <w:color w:val="333333"/>
          <w:sz w:val="21"/>
          <w:szCs w:val="21"/>
        </w:rPr>
        <w:t>.</w:t>
      </w:r>
    </w:p>
    <w:p w14:paraId="705E125B"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1.4. Функционал действия в </w:t>
      </w:r>
      <w:proofErr w:type="spellStart"/>
      <w:r>
        <w:rPr>
          <w:rFonts w:ascii="Arial" w:hAnsi="Arial" w:cs="Arial"/>
          <w:color w:val="333333"/>
          <w:sz w:val="21"/>
          <w:szCs w:val="21"/>
        </w:rPr>
        <w:t>супергравитации</w:t>
      </w:r>
      <w:proofErr w:type="spellEnd"/>
    </w:p>
    <w:p w14:paraId="63F32158"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СУПЕРГРАВИТАЦИЯ И ДИФФЕРЕНЦИАЛЬНЫЕ УРАВНЕНИЯ</w:t>
      </w:r>
    </w:p>
    <w:p w14:paraId="01532994"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Теорема об индуцированной геометрии</w:t>
      </w:r>
    </w:p>
    <w:p w14:paraId="6E6EC8DD"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Доказательство теоремы</w:t>
      </w:r>
    </w:p>
    <w:p w14:paraId="2B1CA5AC"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2.3. Применение теоремы: вывод условий на кручение и кривизну в </w:t>
      </w:r>
      <w:proofErr w:type="spellStart"/>
      <w:r>
        <w:rPr>
          <w:rFonts w:ascii="Arial" w:hAnsi="Arial" w:cs="Arial"/>
          <w:color w:val="333333"/>
          <w:sz w:val="21"/>
          <w:szCs w:val="21"/>
        </w:rPr>
        <w:t>супергравитации</w:t>
      </w:r>
      <w:proofErr w:type="spellEnd"/>
    </w:p>
    <w:p w14:paraId="050C7F58"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СУПЕРСИММЕТРИЧНАЯ ТЕОРИЯ ЯНГА-МЙЛЛСА И ТВИСТОРЫ</w:t>
      </w:r>
    </w:p>
    <w:p w14:paraId="4B7E0DDD"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Суперсимметрия при и индуцированная геометрия.</w:t>
      </w:r>
    </w:p>
    <w:p w14:paraId="3DE6A848"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Связи как условия интегрируемости.</w:t>
      </w:r>
    </w:p>
    <w:p w14:paraId="54D2B98E"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3.3. </w:t>
      </w:r>
      <w:proofErr w:type="spellStart"/>
      <w:r>
        <w:rPr>
          <w:rFonts w:ascii="Arial" w:hAnsi="Arial" w:cs="Arial"/>
          <w:color w:val="333333"/>
          <w:sz w:val="21"/>
          <w:szCs w:val="21"/>
        </w:rPr>
        <w:t>Твисторная</w:t>
      </w:r>
      <w:proofErr w:type="spellEnd"/>
      <w:r>
        <w:rPr>
          <w:rFonts w:ascii="Arial" w:hAnsi="Arial" w:cs="Arial"/>
          <w:color w:val="333333"/>
          <w:sz w:val="21"/>
          <w:szCs w:val="21"/>
        </w:rPr>
        <w:t xml:space="preserve"> интерпретация</w:t>
      </w:r>
    </w:p>
    <w:p w14:paraId="33256FE7"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ПРИМЕНЕНИЕ ТЕОРИИ КАЛУЦЫ-КЛЕЙНА ДЛЯ НАХОЖДЕНИЯ ТОЧНЫХ РЕШЕНИЙ</w:t>
      </w:r>
    </w:p>
    <w:p w14:paraId="3E42B94D"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Общие условия на исходную четырехмерную метрику.</w:t>
      </w:r>
    </w:p>
    <w:p w14:paraId="20CB8449"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Получение решений уравнений Эйнштейна</w:t>
      </w:r>
    </w:p>
    <w:p w14:paraId="3A9E98AC"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Максвелла</w:t>
      </w:r>
    </w:p>
    <w:p w14:paraId="7153C224" w14:textId="77777777" w:rsidR="0014203A" w:rsidRDefault="0014203A" w:rsidP="001420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4.3. Случай скалярного </w:t>
      </w:r>
      <w:proofErr w:type="gramStart"/>
      <w:r>
        <w:rPr>
          <w:rFonts w:ascii="Arial" w:hAnsi="Arial" w:cs="Arial"/>
          <w:color w:val="333333"/>
          <w:sz w:val="21"/>
          <w:szCs w:val="21"/>
        </w:rPr>
        <w:t>поля .</w:t>
      </w:r>
      <w:proofErr w:type="gramEnd"/>
      <w:r>
        <w:rPr>
          <w:rFonts w:ascii="Arial" w:hAnsi="Arial" w:cs="Arial"/>
          <w:color w:val="333333"/>
          <w:sz w:val="21"/>
          <w:szCs w:val="21"/>
        </w:rPr>
        <w:t xml:space="preserve"> III</w:t>
      </w:r>
    </w:p>
    <w:p w14:paraId="69F09626" w14:textId="6D58A847" w:rsidR="005E23AC" w:rsidRPr="0014203A" w:rsidRDefault="005E23AC" w:rsidP="0014203A"/>
    <w:sectPr w:rsidR="005E23AC" w:rsidRPr="0014203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AD8E" w14:textId="77777777" w:rsidR="003D391B" w:rsidRDefault="003D391B">
      <w:pPr>
        <w:spacing w:after="0" w:line="240" w:lineRule="auto"/>
      </w:pPr>
      <w:r>
        <w:separator/>
      </w:r>
    </w:p>
  </w:endnote>
  <w:endnote w:type="continuationSeparator" w:id="0">
    <w:p w14:paraId="167AFD5B" w14:textId="77777777" w:rsidR="003D391B" w:rsidRDefault="003D3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5DA53" w14:textId="77777777" w:rsidR="003D391B" w:rsidRDefault="003D391B"/>
    <w:p w14:paraId="6D759264" w14:textId="77777777" w:rsidR="003D391B" w:rsidRDefault="003D391B"/>
    <w:p w14:paraId="527E0A47" w14:textId="77777777" w:rsidR="003D391B" w:rsidRDefault="003D391B"/>
    <w:p w14:paraId="485D1AB0" w14:textId="77777777" w:rsidR="003D391B" w:rsidRDefault="003D391B"/>
    <w:p w14:paraId="36D5A40F" w14:textId="77777777" w:rsidR="003D391B" w:rsidRDefault="003D391B"/>
    <w:p w14:paraId="3D03B049" w14:textId="77777777" w:rsidR="003D391B" w:rsidRDefault="003D391B"/>
    <w:p w14:paraId="518EBC62" w14:textId="77777777" w:rsidR="003D391B" w:rsidRDefault="003D39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1A3EB8" wp14:editId="4DE4D4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7A98E" w14:textId="77777777" w:rsidR="003D391B" w:rsidRDefault="003D39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1A3E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37A98E" w14:textId="77777777" w:rsidR="003D391B" w:rsidRDefault="003D39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DDC999" w14:textId="77777777" w:rsidR="003D391B" w:rsidRDefault="003D391B"/>
    <w:p w14:paraId="368BF628" w14:textId="77777777" w:rsidR="003D391B" w:rsidRDefault="003D391B"/>
    <w:p w14:paraId="326F34DF" w14:textId="77777777" w:rsidR="003D391B" w:rsidRDefault="003D39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C128FA" wp14:editId="334DD7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2BF5F" w14:textId="77777777" w:rsidR="003D391B" w:rsidRDefault="003D391B"/>
                          <w:p w14:paraId="75248E1A" w14:textId="77777777" w:rsidR="003D391B" w:rsidRDefault="003D39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C128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72BF5F" w14:textId="77777777" w:rsidR="003D391B" w:rsidRDefault="003D391B"/>
                    <w:p w14:paraId="75248E1A" w14:textId="77777777" w:rsidR="003D391B" w:rsidRDefault="003D39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4C2EC4" w14:textId="77777777" w:rsidR="003D391B" w:rsidRDefault="003D391B"/>
    <w:p w14:paraId="58AB1AA6" w14:textId="77777777" w:rsidR="003D391B" w:rsidRDefault="003D391B">
      <w:pPr>
        <w:rPr>
          <w:sz w:val="2"/>
          <w:szCs w:val="2"/>
        </w:rPr>
      </w:pPr>
    </w:p>
    <w:p w14:paraId="372A3F7A" w14:textId="77777777" w:rsidR="003D391B" w:rsidRDefault="003D391B"/>
    <w:p w14:paraId="6AD1F7BF" w14:textId="77777777" w:rsidR="003D391B" w:rsidRDefault="003D391B">
      <w:pPr>
        <w:spacing w:after="0" w:line="240" w:lineRule="auto"/>
      </w:pPr>
    </w:p>
  </w:footnote>
  <w:footnote w:type="continuationSeparator" w:id="0">
    <w:p w14:paraId="0FF254F9" w14:textId="77777777" w:rsidR="003D391B" w:rsidRDefault="003D3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1B"/>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151182</TotalTime>
  <Pages>2</Pages>
  <Words>174</Words>
  <Characters>997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4328</cp:revision>
  <cp:lastPrinted>2009-02-06T05:36:00Z</cp:lastPrinted>
  <dcterms:created xsi:type="dcterms:W3CDTF">2024-01-07T13:43:00Z</dcterms:created>
  <dcterms:modified xsi:type="dcterms:W3CDTF">2025-08-22T11:05:00Z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