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8AB9" w14:textId="77777777" w:rsidR="003C136A" w:rsidRDefault="003C136A" w:rsidP="003C136A">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Бурлаков, Виктор Алексеевич</w:t>
      </w:r>
    </w:p>
    <w:p w14:paraId="447DD3D7" w14:textId="77777777" w:rsidR="003C136A" w:rsidRDefault="003C136A" w:rsidP="003C13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A34CA08" w14:textId="77777777" w:rsidR="003C136A" w:rsidRDefault="003C136A" w:rsidP="003C13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и методологические основы геополитического анализа.</w:t>
      </w:r>
    </w:p>
    <w:p w14:paraId="46375019" w14:textId="77777777" w:rsidR="003C136A" w:rsidRDefault="003C136A" w:rsidP="003C13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Методологические основы геополитики.</w:t>
      </w:r>
    </w:p>
    <w:p w14:paraId="5308BBF4" w14:textId="77777777" w:rsidR="003C136A" w:rsidRDefault="003C136A" w:rsidP="003C13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Геополитическая теория: категории и составляющие геополитического анализа.</w:t>
      </w:r>
    </w:p>
    <w:p w14:paraId="111F5690" w14:textId="77777777" w:rsidR="003C136A" w:rsidRDefault="003C136A" w:rsidP="003C13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Российская геополитическая традиция.</w:t>
      </w:r>
    </w:p>
    <w:p w14:paraId="7A487A65" w14:textId="77777777" w:rsidR="003C136A" w:rsidRDefault="003C136A" w:rsidP="003C13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Геополитическое пространство Северо-Восточной Азии и положение юга Приморского края.</w:t>
      </w:r>
    </w:p>
    <w:p w14:paraId="498C7BB6" w14:textId="77777777" w:rsidR="003C136A" w:rsidRDefault="003C136A" w:rsidP="003C13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Северо-Восточная Азия как международно-политический регион.</w:t>
      </w:r>
    </w:p>
    <w:p w14:paraId="2D72DB3F" w14:textId="77777777" w:rsidR="003C136A" w:rsidRDefault="003C136A" w:rsidP="003C13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Особенности формирования </w:t>
      </w:r>
      <w:proofErr w:type="spellStart"/>
      <w:r>
        <w:rPr>
          <w:rFonts w:ascii="Arial" w:hAnsi="Arial" w:cs="Arial"/>
          <w:color w:val="333333"/>
          <w:sz w:val="21"/>
          <w:szCs w:val="21"/>
        </w:rPr>
        <w:t>внутрирегиональных</w:t>
      </w:r>
      <w:proofErr w:type="spellEnd"/>
      <w:r>
        <w:rPr>
          <w:rFonts w:ascii="Arial" w:hAnsi="Arial" w:cs="Arial"/>
          <w:color w:val="333333"/>
          <w:sz w:val="21"/>
          <w:szCs w:val="21"/>
        </w:rPr>
        <w:t xml:space="preserve"> политических отношений в Северо-Восточной Азии.</w:t>
      </w:r>
    </w:p>
    <w:p w14:paraId="2A51C978" w14:textId="77777777" w:rsidR="003C136A" w:rsidRDefault="003C136A" w:rsidP="003C13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Концепции региональной интеграции.</w:t>
      </w:r>
    </w:p>
    <w:p w14:paraId="1EAAC24F" w14:textId="77777777" w:rsidR="003C136A" w:rsidRDefault="003C136A" w:rsidP="003C13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Проект «</w:t>
      </w:r>
      <w:proofErr w:type="spellStart"/>
      <w:r>
        <w:rPr>
          <w:rFonts w:ascii="Arial" w:hAnsi="Arial" w:cs="Arial"/>
          <w:color w:val="333333"/>
          <w:sz w:val="21"/>
          <w:szCs w:val="21"/>
        </w:rPr>
        <w:t>Туманган</w:t>
      </w:r>
      <w:proofErr w:type="spellEnd"/>
      <w:r>
        <w:rPr>
          <w:rFonts w:ascii="Arial" w:hAnsi="Arial" w:cs="Arial"/>
          <w:color w:val="333333"/>
          <w:sz w:val="21"/>
          <w:szCs w:val="21"/>
        </w:rPr>
        <w:t>», как отражение геополитических процессов в Северо-Восточной Азии.</w:t>
      </w:r>
    </w:p>
    <w:p w14:paraId="17ED0FA4" w14:textId="77777777" w:rsidR="003C136A" w:rsidRDefault="003C136A" w:rsidP="003C13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Становление геополитических интересов стран Северо-Восточной Азии в кон. 80-х - нач. 90-х гг. и роль проекта «</w:t>
      </w:r>
      <w:proofErr w:type="spellStart"/>
      <w:r>
        <w:rPr>
          <w:rFonts w:ascii="Arial" w:hAnsi="Arial" w:cs="Arial"/>
          <w:color w:val="333333"/>
          <w:sz w:val="21"/>
          <w:szCs w:val="21"/>
        </w:rPr>
        <w:t>Туманган</w:t>
      </w:r>
      <w:proofErr w:type="spellEnd"/>
      <w:r>
        <w:rPr>
          <w:rFonts w:ascii="Arial" w:hAnsi="Arial" w:cs="Arial"/>
          <w:color w:val="333333"/>
          <w:sz w:val="21"/>
          <w:szCs w:val="21"/>
        </w:rPr>
        <w:t>» в этом процессе.</w:t>
      </w:r>
    </w:p>
    <w:p w14:paraId="7C7DD03B" w14:textId="77777777" w:rsidR="003C136A" w:rsidRDefault="003C136A" w:rsidP="003C13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Современное состояние проекта «</w:t>
      </w:r>
      <w:proofErr w:type="spellStart"/>
      <w:r>
        <w:rPr>
          <w:rFonts w:ascii="Arial" w:hAnsi="Arial" w:cs="Arial"/>
          <w:color w:val="333333"/>
          <w:sz w:val="21"/>
          <w:szCs w:val="21"/>
        </w:rPr>
        <w:t>Туманган</w:t>
      </w:r>
      <w:proofErr w:type="spellEnd"/>
      <w:r>
        <w:rPr>
          <w:rFonts w:ascii="Arial" w:hAnsi="Arial" w:cs="Arial"/>
          <w:color w:val="333333"/>
          <w:sz w:val="21"/>
          <w:szCs w:val="21"/>
        </w:rPr>
        <w:t>».</w:t>
      </w:r>
    </w:p>
    <w:p w14:paraId="40294F55" w14:textId="39605C02" w:rsidR="00050BAD" w:rsidRPr="003C136A" w:rsidRDefault="00050BAD" w:rsidP="003C136A"/>
    <w:sectPr w:rsidR="00050BAD" w:rsidRPr="003C136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4F130" w14:textId="77777777" w:rsidR="000D0814" w:rsidRDefault="000D0814">
      <w:pPr>
        <w:spacing w:after="0" w:line="240" w:lineRule="auto"/>
      </w:pPr>
      <w:r>
        <w:separator/>
      </w:r>
    </w:p>
  </w:endnote>
  <w:endnote w:type="continuationSeparator" w:id="0">
    <w:p w14:paraId="0068F0B8" w14:textId="77777777" w:rsidR="000D0814" w:rsidRDefault="000D0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46CC" w14:textId="77777777" w:rsidR="000D0814" w:rsidRDefault="000D0814"/>
    <w:p w14:paraId="07D7BF47" w14:textId="77777777" w:rsidR="000D0814" w:rsidRDefault="000D0814"/>
    <w:p w14:paraId="7AD1BEFC" w14:textId="77777777" w:rsidR="000D0814" w:rsidRDefault="000D0814"/>
    <w:p w14:paraId="5B98D297" w14:textId="77777777" w:rsidR="000D0814" w:rsidRDefault="000D0814"/>
    <w:p w14:paraId="10D3CD3D" w14:textId="77777777" w:rsidR="000D0814" w:rsidRDefault="000D0814"/>
    <w:p w14:paraId="28756398" w14:textId="77777777" w:rsidR="000D0814" w:rsidRDefault="000D0814"/>
    <w:p w14:paraId="3A7A8E2B" w14:textId="77777777" w:rsidR="000D0814" w:rsidRDefault="000D08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C1908B" wp14:editId="73D30D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ACD7F" w14:textId="77777777" w:rsidR="000D0814" w:rsidRDefault="000D08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C190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BACD7F" w14:textId="77777777" w:rsidR="000D0814" w:rsidRDefault="000D08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ACDA32" w14:textId="77777777" w:rsidR="000D0814" w:rsidRDefault="000D0814"/>
    <w:p w14:paraId="243B6A16" w14:textId="77777777" w:rsidR="000D0814" w:rsidRDefault="000D0814"/>
    <w:p w14:paraId="16619121" w14:textId="77777777" w:rsidR="000D0814" w:rsidRDefault="000D08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B0012F" wp14:editId="352A0C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CABA2" w14:textId="77777777" w:rsidR="000D0814" w:rsidRDefault="000D0814"/>
                          <w:p w14:paraId="09815EB7" w14:textId="77777777" w:rsidR="000D0814" w:rsidRDefault="000D08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001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ECABA2" w14:textId="77777777" w:rsidR="000D0814" w:rsidRDefault="000D0814"/>
                    <w:p w14:paraId="09815EB7" w14:textId="77777777" w:rsidR="000D0814" w:rsidRDefault="000D08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096F3D" w14:textId="77777777" w:rsidR="000D0814" w:rsidRDefault="000D0814"/>
    <w:p w14:paraId="5CFD3F3D" w14:textId="77777777" w:rsidR="000D0814" w:rsidRDefault="000D0814">
      <w:pPr>
        <w:rPr>
          <w:sz w:val="2"/>
          <w:szCs w:val="2"/>
        </w:rPr>
      </w:pPr>
    </w:p>
    <w:p w14:paraId="7A6FFD52" w14:textId="77777777" w:rsidR="000D0814" w:rsidRDefault="000D0814"/>
    <w:p w14:paraId="35561DCA" w14:textId="77777777" w:rsidR="000D0814" w:rsidRDefault="000D0814">
      <w:pPr>
        <w:spacing w:after="0" w:line="240" w:lineRule="auto"/>
      </w:pPr>
    </w:p>
  </w:footnote>
  <w:footnote w:type="continuationSeparator" w:id="0">
    <w:p w14:paraId="2EF8783C" w14:textId="77777777" w:rsidR="000D0814" w:rsidRDefault="000D0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14"/>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82722</TotalTime>
  <Pages>1</Pages>
  <Words>135</Words>
  <Characters>771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3047</cp:revision>
  <cp:lastPrinted>2009-02-06T05:36:00Z</cp:lastPrinted>
  <dcterms:created xsi:type="dcterms:W3CDTF">2024-01-07T13:43:00Z</dcterms:created>
  <dcterms:modified xsi:type="dcterms:W3CDTF">2025-04-28T13:13:00Z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