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5FAF8" w14:textId="766B5CC0" w:rsidR="00610833" w:rsidRDefault="00F35E0C" w:rsidP="00F35E0C">
      <w:pPr>
        <w:rPr>
          <w:rFonts w:ascii="Verdana" w:hAnsi="Verdana"/>
          <w:b/>
          <w:bCs/>
          <w:color w:val="000000"/>
          <w:shd w:val="clear" w:color="auto" w:fill="FFFFFF"/>
        </w:rPr>
      </w:pPr>
      <w:r>
        <w:rPr>
          <w:rFonts w:ascii="Verdana" w:hAnsi="Verdana"/>
          <w:b/>
          <w:bCs/>
          <w:color w:val="000000"/>
          <w:shd w:val="clear" w:color="auto" w:fill="FFFFFF"/>
        </w:rPr>
        <w:t xml:space="preserve">Браженко Віра Євгенівна. Розробка енергозберігаючої технології виробництва комплексних преміксів : Дис... канд. наук: 05.18.01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35E0C" w:rsidRPr="00F35E0C" w14:paraId="0F9D654D" w14:textId="77777777" w:rsidTr="00F35E0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35E0C" w:rsidRPr="00F35E0C" w14:paraId="6E789871" w14:textId="77777777">
              <w:trPr>
                <w:tblCellSpacing w:w="0" w:type="dxa"/>
              </w:trPr>
              <w:tc>
                <w:tcPr>
                  <w:tcW w:w="0" w:type="auto"/>
                  <w:vAlign w:val="center"/>
                  <w:hideMark/>
                </w:tcPr>
                <w:p w14:paraId="11387A57" w14:textId="77777777" w:rsidR="00F35E0C" w:rsidRPr="00F35E0C" w:rsidRDefault="00F35E0C" w:rsidP="00F35E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5E0C">
                    <w:rPr>
                      <w:rFonts w:ascii="Times New Roman" w:eastAsia="Times New Roman" w:hAnsi="Times New Roman" w:cs="Times New Roman"/>
                      <w:b/>
                      <w:bCs/>
                      <w:sz w:val="24"/>
                      <w:szCs w:val="24"/>
                    </w:rPr>
                    <w:lastRenderedPageBreak/>
                    <w:t>Браженко В.Є. Розробка енергозберігаючої технології виробництва комплексних преміксів. – Рукопис.</w:t>
                  </w:r>
                </w:p>
                <w:p w14:paraId="3EBA18BF" w14:textId="77777777" w:rsidR="00F35E0C" w:rsidRPr="00F35E0C" w:rsidRDefault="00F35E0C" w:rsidP="00F35E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5E0C">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05.18.01 – зберігання і технологія переробки зерна, виготовлення зернових і хлібопекарських виробів та комбікормів. – Одеська національна академія харчових технологій Міністерства освіти і науки України, Одеса, 2008.</w:t>
                  </w:r>
                </w:p>
                <w:p w14:paraId="0454399F" w14:textId="77777777" w:rsidR="00F35E0C" w:rsidRPr="00F35E0C" w:rsidRDefault="00F35E0C" w:rsidP="00F35E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5E0C">
                    <w:rPr>
                      <w:rFonts w:ascii="Times New Roman" w:eastAsia="Times New Roman" w:hAnsi="Times New Roman" w:cs="Times New Roman"/>
                      <w:sz w:val="24"/>
                      <w:szCs w:val="24"/>
                    </w:rPr>
                    <w:t>Дисертація присвячена підвищенню якості комплексних преміксів з використанням комплексних наповнювачів та зниженню питомих енерговитрат на їх виробництво.</w:t>
                  </w:r>
                </w:p>
                <w:p w14:paraId="2E334142" w14:textId="77777777" w:rsidR="00F35E0C" w:rsidRPr="00F35E0C" w:rsidRDefault="00F35E0C" w:rsidP="00F35E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5E0C">
                    <w:rPr>
                      <w:rFonts w:ascii="Times New Roman" w:eastAsia="Times New Roman" w:hAnsi="Times New Roman" w:cs="Times New Roman"/>
                      <w:sz w:val="24"/>
                      <w:szCs w:val="24"/>
                    </w:rPr>
                    <w:t>Теоретично та експериментально доведена можливість підвищення однорідності преміксів шляхом застосування комплексних наповнювачів, склад яких забезпечує максимальне наближення фізичних властивостей до визначених груп кормових препаратів біологічно активних речовин. Науково обґрунтовано склад комплексних наповнювачів на основі висівок пшеничних і вапнякового борошна. Доведена доцільність застосування лопатевих перемішуючих пристроїв і встановлена раціональна тривалість змішування 480…720 с, що дозволяє отримати високо однорідні суміші компонентів преміксів з коефіцієнтом варіації 1,7…1,8 %. Розроблено енергоощадний спосіб підготовки комплексних наповнювачів і удосконалено технологію виробництва преміксів шляхом запровадження порційного принципу отримання сумішей. Визначено основні фізичні властивості, хімічний склад і проведено оцінку зоотехнічної ефективності преміксів, виготовлених на основі комплексних наповнювачів за удосконаленою технологією. Підвищення якості преміксів призвело до отримання додаткової тваринницької продукції на 16, 8 % при зниженні витрат комбікормів (на 7,4…13,7 %).</w:t>
                  </w:r>
                </w:p>
                <w:p w14:paraId="7F5B592A" w14:textId="77777777" w:rsidR="00F35E0C" w:rsidRPr="00F35E0C" w:rsidRDefault="00F35E0C" w:rsidP="00F35E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5E0C">
                    <w:rPr>
                      <w:rFonts w:ascii="Times New Roman" w:eastAsia="Times New Roman" w:hAnsi="Times New Roman" w:cs="Times New Roman"/>
                      <w:sz w:val="24"/>
                      <w:szCs w:val="24"/>
                    </w:rPr>
                    <w:t>Розроблена технологія апробована та впроваджена на ВАТ «Білгород-Дністровський КХП» і Овідіопольському цеху преміксів.</w:t>
                  </w:r>
                </w:p>
              </w:tc>
            </w:tr>
          </w:tbl>
          <w:p w14:paraId="237D0E61" w14:textId="77777777" w:rsidR="00F35E0C" w:rsidRPr="00F35E0C" w:rsidRDefault="00F35E0C" w:rsidP="00F35E0C">
            <w:pPr>
              <w:spacing w:after="0" w:line="240" w:lineRule="auto"/>
              <w:rPr>
                <w:rFonts w:ascii="Times New Roman" w:eastAsia="Times New Roman" w:hAnsi="Times New Roman" w:cs="Times New Roman"/>
                <w:sz w:val="24"/>
                <w:szCs w:val="24"/>
              </w:rPr>
            </w:pPr>
          </w:p>
        </w:tc>
      </w:tr>
      <w:tr w:rsidR="00F35E0C" w:rsidRPr="00F35E0C" w14:paraId="14E24335" w14:textId="77777777" w:rsidTr="00F35E0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35E0C" w:rsidRPr="00F35E0C" w14:paraId="09338A2E" w14:textId="77777777">
              <w:trPr>
                <w:tblCellSpacing w:w="0" w:type="dxa"/>
              </w:trPr>
              <w:tc>
                <w:tcPr>
                  <w:tcW w:w="0" w:type="auto"/>
                  <w:vAlign w:val="center"/>
                  <w:hideMark/>
                </w:tcPr>
                <w:p w14:paraId="2443E815" w14:textId="77777777" w:rsidR="00F35E0C" w:rsidRPr="00F35E0C" w:rsidRDefault="00F35E0C" w:rsidP="0019145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35E0C">
                    <w:rPr>
                      <w:rFonts w:ascii="Times New Roman" w:eastAsia="Times New Roman" w:hAnsi="Times New Roman" w:cs="Times New Roman"/>
                      <w:sz w:val="24"/>
                      <w:szCs w:val="24"/>
                    </w:rPr>
                    <w:t>На підставі проведених теоретичних і експериментальних досліджень науково обґрунтована можливість підвищення якості комплексних преміксів, стабілізації активності діючих речовин препаратів БАР в процесі виробництва та зберігання готової продукції зі зниженням питомих витрат електроенергії за рахунок застосування комплексних наповнювачів.</w:t>
                  </w:r>
                </w:p>
                <w:p w14:paraId="5C2B2E71" w14:textId="77777777" w:rsidR="00F35E0C" w:rsidRPr="00F35E0C" w:rsidRDefault="00F35E0C" w:rsidP="0019145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35E0C">
                    <w:rPr>
                      <w:rFonts w:ascii="Times New Roman" w:eastAsia="Times New Roman" w:hAnsi="Times New Roman" w:cs="Times New Roman"/>
                      <w:sz w:val="24"/>
                      <w:szCs w:val="24"/>
                    </w:rPr>
                    <w:t>Теоретично і експериментально обґрунтована доцільність розподілу кормових препаратів БАР за основними фізичними властивостями на 3 групи з об’ємною масою від 100 кг/ м</w:t>
                  </w:r>
                  <w:r w:rsidRPr="00F35E0C">
                    <w:rPr>
                      <w:rFonts w:ascii="Times New Roman" w:eastAsia="Times New Roman" w:hAnsi="Times New Roman" w:cs="Times New Roman"/>
                      <w:sz w:val="24"/>
                      <w:szCs w:val="24"/>
                      <w:vertAlign w:val="superscript"/>
                    </w:rPr>
                    <w:t>3</w:t>
                  </w:r>
                  <w:r w:rsidRPr="00F35E0C">
                    <w:rPr>
                      <w:rFonts w:ascii="Times New Roman" w:eastAsia="Times New Roman" w:hAnsi="Times New Roman" w:cs="Times New Roman"/>
                      <w:sz w:val="24"/>
                      <w:szCs w:val="24"/>
                    </w:rPr>
                    <w:t> до 400 кг/ м</w:t>
                  </w:r>
                  <w:r w:rsidRPr="00F35E0C">
                    <w:rPr>
                      <w:rFonts w:ascii="Times New Roman" w:eastAsia="Times New Roman" w:hAnsi="Times New Roman" w:cs="Times New Roman"/>
                      <w:sz w:val="24"/>
                      <w:szCs w:val="24"/>
                      <w:vertAlign w:val="superscript"/>
                    </w:rPr>
                    <w:t>3</w:t>
                  </w:r>
                  <w:r w:rsidRPr="00F35E0C">
                    <w:rPr>
                      <w:rFonts w:ascii="Times New Roman" w:eastAsia="Times New Roman" w:hAnsi="Times New Roman" w:cs="Times New Roman"/>
                      <w:sz w:val="24"/>
                      <w:szCs w:val="24"/>
                    </w:rPr>
                    <w:t>, від 400 кг/ м</w:t>
                  </w:r>
                  <w:r w:rsidRPr="00F35E0C">
                    <w:rPr>
                      <w:rFonts w:ascii="Times New Roman" w:eastAsia="Times New Roman" w:hAnsi="Times New Roman" w:cs="Times New Roman"/>
                      <w:sz w:val="24"/>
                      <w:szCs w:val="24"/>
                      <w:vertAlign w:val="superscript"/>
                    </w:rPr>
                    <w:t>3</w:t>
                  </w:r>
                  <w:r w:rsidRPr="00F35E0C">
                    <w:rPr>
                      <w:rFonts w:ascii="Times New Roman" w:eastAsia="Times New Roman" w:hAnsi="Times New Roman" w:cs="Times New Roman"/>
                      <w:sz w:val="24"/>
                      <w:szCs w:val="24"/>
                    </w:rPr>
                    <w:t> до 700 кг/ м</w:t>
                  </w:r>
                  <w:r w:rsidRPr="00F35E0C">
                    <w:rPr>
                      <w:rFonts w:ascii="Times New Roman" w:eastAsia="Times New Roman" w:hAnsi="Times New Roman" w:cs="Times New Roman"/>
                      <w:sz w:val="24"/>
                      <w:szCs w:val="24"/>
                      <w:vertAlign w:val="superscript"/>
                    </w:rPr>
                    <w:t>3</w:t>
                  </w:r>
                  <w:r w:rsidRPr="00F35E0C">
                    <w:rPr>
                      <w:rFonts w:ascii="Times New Roman" w:eastAsia="Times New Roman" w:hAnsi="Times New Roman" w:cs="Times New Roman"/>
                      <w:sz w:val="24"/>
                      <w:szCs w:val="24"/>
                    </w:rPr>
                    <w:t> і від 700 кг/ м</w:t>
                  </w:r>
                  <w:r w:rsidRPr="00F35E0C">
                    <w:rPr>
                      <w:rFonts w:ascii="Times New Roman" w:eastAsia="Times New Roman" w:hAnsi="Times New Roman" w:cs="Times New Roman"/>
                      <w:sz w:val="24"/>
                      <w:szCs w:val="24"/>
                      <w:vertAlign w:val="superscript"/>
                    </w:rPr>
                    <w:t>3</w:t>
                  </w:r>
                  <w:r w:rsidRPr="00F35E0C">
                    <w:rPr>
                      <w:rFonts w:ascii="Times New Roman" w:eastAsia="Times New Roman" w:hAnsi="Times New Roman" w:cs="Times New Roman"/>
                      <w:sz w:val="24"/>
                      <w:szCs w:val="24"/>
                    </w:rPr>
                    <w:t> до 1400 кг/ м</w:t>
                  </w:r>
                  <w:r w:rsidRPr="00F35E0C">
                    <w:rPr>
                      <w:rFonts w:ascii="Times New Roman" w:eastAsia="Times New Roman" w:hAnsi="Times New Roman" w:cs="Times New Roman"/>
                      <w:sz w:val="24"/>
                      <w:szCs w:val="24"/>
                      <w:vertAlign w:val="superscript"/>
                    </w:rPr>
                    <w:t>3</w:t>
                  </w:r>
                  <w:r w:rsidRPr="00F35E0C">
                    <w:rPr>
                      <w:rFonts w:ascii="Times New Roman" w:eastAsia="Times New Roman" w:hAnsi="Times New Roman" w:cs="Times New Roman"/>
                      <w:sz w:val="24"/>
                      <w:szCs w:val="24"/>
                    </w:rPr>
                    <w:t>.</w:t>
                  </w:r>
                </w:p>
                <w:p w14:paraId="7FA18375" w14:textId="77777777" w:rsidR="00F35E0C" w:rsidRPr="00F35E0C" w:rsidRDefault="00F35E0C" w:rsidP="0019145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35E0C">
                    <w:rPr>
                      <w:rFonts w:ascii="Times New Roman" w:eastAsia="Times New Roman" w:hAnsi="Times New Roman" w:cs="Times New Roman"/>
                      <w:sz w:val="24"/>
                      <w:szCs w:val="24"/>
                    </w:rPr>
                    <w:t>Теоретично і експериментально обґрунтовані склад, рецептура комплексних наповнювачів для виробництва високоякісних комплексних преміксів. Доведена доцільність використання у якості комплексних наповнювачів суміші висівок пшеничних і вапнякового борошна у співвідношеннях: 75:25; 15:85; 50:50, фізичні властивості яких наближаються до визначених трьох груп препаратів БАР.</w:t>
                  </w:r>
                </w:p>
                <w:p w14:paraId="723D1A9C" w14:textId="77777777" w:rsidR="00F35E0C" w:rsidRPr="00F35E0C" w:rsidRDefault="00F35E0C" w:rsidP="0019145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35E0C">
                    <w:rPr>
                      <w:rFonts w:ascii="Times New Roman" w:eastAsia="Times New Roman" w:hAnsi="Times New Roman" w:cs="Times New Roman"/>
                      <w:sz w:val="24"/>
                      <w:szCs w:val="24"/>
                    </w:rPr>
                    <w:t>Розроблено енергозберігаючий технологічний спосіб підготовки комплексних наповнювачів шляхом подрібнення, змішування та відволожуванням компонентів протягом 4 годин.</w:t>
                  </w:r>
                </w:p>
                <w:p w14:paraId="2D32BD4C" w14:textId="77777777" w:rsidR="00F35E0C" w:rsidRPr="00F35E0C" w:rsidRDefault="00F35E0C" w:rsidP="0019145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35E0C">
                    <w:rPr>
                      <w:rFonts w:ascii="Times New Roman" w:eastAsia="Times New Roman" w:hAnsi="Times New Roman" w:cs="Times New Roman"/>
                      <w:sz w:val="24"/>
                      <w:szCs w:val="24"/>
                    </w:rPr>
                    <w:t>Експериментально доведена доцільність застосування лопатевих перемішуючих пристроїв у змішувачах періодичної дії та встановлено тривалість змішування, за якою коефіцієнт варіації сумішей в 1,5…2 рази нижче ніж, при застосуванні стрічкових перемішуючих пристроїв.</w:t>
                  </w:r>
                </w:p>
                <w:p w14:paraId="0E94D25F" w14:textId="77777777" w:rsidR="00F35E0C" w:rsidRPr="00F35E0C" w:rsidRDefault="00F35E0C" w:rsidP="0019145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35E0C">
                    <w:rPr>
                      <w:rFonts w:ascii="Times New Roman" w:eastAsia="Times New Roman" w:hAnsi="Times New Roman" w:cs="Times New Roman"/>
                      <w:sz w:val="24"/>
                      <w:szCs w:val="24"/>
                    </w:rPr>
                    <w:lastRenderedPageBreak/>
                    <w:t>Проведено енергетичний аудит і розроблена математична модель технологічного процесу змішування компонентів преміксів, яка дозволяє визначати витрати електроенергії на процес змішування компонентів і зменшити їх у 2,5…3 рази в пусковому режимі двигуна змішувача з застосуванням частотного перетворювача.</w:t>
                  </w:r>
                </w:p>
                <w:p w14:paraId="7E573E1B" w14:textId="77777777" w:rsidR="00F35E0C" w:rsidRPr="00F35E0C" w:rsidRDefault="00F35E0C" w:rsidP="0019145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35E0C">
                    <w:rPr>
                      <w:rFonts w:ascii="Times New Roman" w:eastAsia="Times New Roman" w:hAnsi="Times New Roman" w:cs="Times New Roman"/>
                      <w:sz w:val="24"/>
                      <w:szCs w:val="24"/>
                    </w:rPr>
                    <w:t>Визначені хімічний склад і фізичні властивості комплексних преміксів, виготовлених за розробленою технологією. Встановлено, що розроблена технологія дозволяє отримати високооднорідний премікс, з коефіцієнтом варіації 1,7…1,8 % у порівнянні з 3,5…5 % при застосуванні існуючих технологій.</w:t>
                  </w:r>
                </w:p>
                <w:p w14:paraId="73F68977" w14:textId="77777777" w:rsidR="00F35E0C" w:rsidRPr="00F35E0C" w:rsidRDefault="00F35E0C" w:rsidP="0019145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35E0C">
                    <w:rPr>
                      <w:rFonts w:ascii="Times New Roman" w:eastAsia="Times New Roman" w:hAnsi="Times New Roman" w:cs="Times New Roman"/>
                      <w:sz w:val="24"/>
                      <w:szCs w:val="24"/>
                    </w:rPr>
                    <w:t>Розроблена схема технологічного процесу виробництва комплексних преміксів на основі комплексних наповнювачів. Проведена промислова апробація розробленої технології на комбікормовому заводі ВАТ «Білгород-Дністровський КХП» та Овідіопольському цеху преміксів. Визначені хімічний склад, фізичні та гігроскопічні властивості отриманих преміксів і умови їх зберігання.</w:t>
                  </w:r>
                </w:p>
                <w:p w14:paraId="54049D94" w14:textId="77777777" w:rsidR="00F35E0C" w:rsidRPr="00F35E0C" w:rsidRDefault="00F35E0C" w:rsidP="0019145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35E0C">
                    <w:rPr>
                      <w:rFonts w:ascii="Times New Roman" w:eastAsia="Times New Roman" w:hAnsi="Times New Roman" w:cs="Times New Roman"/>
                      <w:sz w:val="24"/>
                      <w:szCs w:val="24"/>
                    </w:rPr>
                    <w:t>Визначена зоотехнічна ефективність комбікормів, збагачених преміксами, виробленими за розробленою технологією, в умовах господарства СВК «Світанок» Комінтернівського району та птахофабрики ВАТ «Отрадівська птахофабрика». Встановлено, що використання преміксів з застосуванням комплексних наповнювачів забезпечує зростання середньодобових приростів живої маси поросят на 16,8 % у порівнянні з контролем. Витрати комбікормів на отримання 1 кг приросту живої маси зменшилися на 13,7 %. Знижено собівартість виробництва м’яса свинини на 6,7…8,6 %. В дослідах на курках – несучках встановлено зменшення витрат комбікормів на отримання 10 яєць до 7,4 % .</w:t>
                  </w:r>
                </w:p>
                <w:p w14:paraId="501E20A3" w14:textId="77777777" w:rsidR="00F35E0C" w:rsidRPr="00F35E0C" w:rsidRDefault="00F35E0C" w:rsidP="0019145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35E0C">
                    <w:rPr>
                      <w:rFonts w:ascii="Times New Roman" w:eastAsia="Times New Roman" w:hAnsi="Times New Roman" w:cs="Times New Roman"/>
                      <w:sz w:val="24"/>
                      <w:szCs w:val="24"/>
                    </w:rPr>
                    <w:t>Запропоновано інноваційні розробки «Премікси для збагачення комбікормів, які застосовують при годівлі курей-несучок в умовах промислових птахофабрик».</w:t>
                  </w:r>
                </w:p>
                <w:p w14:paraId="2ED7004E" w14:textId="77777777" w:rsidR="00F35E0C" w:rsidRPr="00F35E0C" w:rsidRDefault="00F35E0C" w:rsidP="0019145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35E0C">
                    <w:rPr>
                      <w:rFonts w:ascii="Times New Roman" w:eastAsia="Times New Roman" w:hAnsi="Times New Roman" w:cs="Times New Roman"/>
                      <w:sz w:val="24"/>
                      <w:szCs w:val="24"/>
                    </w:rPr>
                    <w:t>Очікуваний економічний ефект запровадження розробленої технології становить 5,64 млн. грн. за рахунок зниження питомих витрат електроенергії та 444,15 млн. грн. отримання додаткової кількості м’яса свинини та курячих яєць.</w:t>
                  </w:r>
                </w:p>
              </w:tc>
            </w:tr>
          </w:tbl>
          <w:p w14:paraId="1948B206" w14:textId="77777777" w:rsidR="00F35E0C" w:rsidRPr="00F35E0C" w:rsidRDefault="00F35E0C" w:rsidP="00F35E0C">
            <w:pPr>
              <w:spacing w:after="0" w:line="240" w:lineRule="auto"/>
              <w:rPr>
                <w:rFonts w:ascii="Times New Roman" w:eastAsia="Times New Roman" w:hAnsi="Times New Roman" w:cs="Times New Roman"/>
                <w:sz w:val="24"/>
                <w:szCs w:val="24"/>
              </w:rPr>
            </w:pPr>
          </w:p>
        </w:tc>
      </w:tr>
    </w:tbl>
    <w:p w14:paraId="523A6E94" w14:textId="77777777" w:rsidR="00F35E0C" w:rsidRPr="00F35E0C" w:rsidRDefault="00F35E0C" w:rsidP="00F35E0C"/>
    <w:sectPr w:rsidR="00F35E0C" w:rsidRPr="00F35E0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8F11F" w14:textId="77777777" w:rsidR="00191458" w:rsidRDefault="00191458">
      <w:pPr>
        <w:spacing w:after="0" w:line="240" w:lineRule="auto"/>
      </w:pPr>
      <w:r>
        <w:separator/>
      </w:r>
    </w:p>
  </w:endnote>
  <w:endnote w:type="continuationSeparator" w:id="0">
    <w:p w14:paraId="034D7DBE" w14:textId="77777777" w:rsidR="00191458" w:rsidRDefault="00191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A92B4" w14:textId="77777777" w:rsidR="00191458" w:rsidRDefault="00191458">
      <w:pPr>
        <w:spacing w:after="0" w:line="240" w:lineRule="auto"/>
      </w:pPr>
      <w:r>
        <w:separator/>
      </w:r>
    </w:p>
  </w:footnote>
  <w:footnote w:type="continuationSeparator" w:id="0">
    <w:p w14:paraId="6E0844DE" w14:textId="77777777" w:rsidR="00191458" w:rsidRDefault="001914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E229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E60AA"/>
    <w:multiLevelType w:val="multilevel"/>
    <w:tmpl w:val="6164D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00"/>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458"/>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45E"/>
    <w:rsid w:val="003F47E6"/>
    <w:rsid w:val="003F48FE"/>
    <w:rsid w:val="003F4958"/>
    <w:rsid w:val="003F4B36"/>
    <w:rsid w:val="003F4F2E"/>
    <w:rsid w:val="003F4F99"/>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2F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34F"/>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57B"/>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4F80"/>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1B5"/>
    <w:rsid w:val="006472B1"/>
    <w:rsid w:val="006473B4"/>
    <w:rsid w:val="00647844"/>
    <w:rsid w:val="0064789B"/>
    <w:rsid w:val="0064794F"/>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2F9"/>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AA"/>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03D"/>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3E52"/>
    <w:rsid w:val="0076402C"/>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763"/>
    <w:rsid w:val="00815C83"/>
    <w:rsid w:val="00815C90"/>
    <w:rsid w:val="00815E4E"/>
    <w:rsid w:val="0081616C"/>
    <w:rsid w:val="008161A7"/>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DB"/>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207B"/>
    <w:rsid w:val="00AA221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2F99"/>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DCC"/>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99186</TotalTime>
  <Pages>3</Pages>
  <Words>788</Words>
  <Characters>4496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204</cp:revision>
  <dcterms:created xsi:type="dcterms:W3CDTF">2024-06-20T08:51:00Z</dcterms:created>
  <dcterms:modified xsi:type="dcterms:W3CDTF">2024-12-19T10:00:00Z</dcterms:modified>
  <cp:category/>
</cp:coreProperties>
</file>