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DC1835" w:rsidRDefault="00DC1835" w:rsidP="00DC1835">
      <w:r w:rsidRPr="00AC584C">
        <w:rPr>
          <w:rFonts w:ascii="Times New Roman" w:eastAsia="Times New Roman" w:hAnsi="Times New Roman" w:cs="Times New Roman"/>
          <w:b/>
          <w:sz w:val="24"/>
          <w:szCs w:val="24"/>
          <w:lang w:eastAsia="ru-RU"/>
        </w:rPr>
        <w:t>Нєвєдров Дмитро Сергійович</w:t>
      </w:r>
      <w:r w:rsidRPr="00AC584C">
        <w:rPr>
          <w:rFonts w:ascii="Times New Roman" w:eastAsia="Times New Roman" w:hAnsi="Times New Roman" w:cs="Times New Roman"/>
          <w:sz w:val="24"/>
          <w:szCs w:val="24"/>
          <w:lang w:eastAsia="ru-RU"/>
        </w:rPr>
        <w:t>, здобувач, Національний транспортний університет. Назва дисертації: «Методи і моделі оцінки впливу на довкілля в проектах будівництва та реконструкції об’єктів критичної інфраструктури». Шифр та назва спеціальності – 05.13.22 – управління проектами та програмами. Спецрада Д 26.059.01 Національного транспортного університету</w:t>
      </w:r>
    </w:p>
    <w:sectPr w:rsidR="000D5E82" w:rsidRPr="00DC18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DC1835" w:rsidRPr="00DC18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92597-BC7F-4F04-8BC8-2A57EDC6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3870</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181</cp:revision>
  <cp:lastPrinted>2009-02-06T05:36:00Z</cp:lastPrinted>
  <dcterms:created xsi:type="dcterms:W3CDTF">2021-01-21T08:41:00Z</dcterms:created>
  <dcterms:modified xsi:type="dcterms:W3CDTF">2021-02-05T21:35:00Z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