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AE218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 xml:space="preserve">Нургаянова, Неля Хабибулловна. Формирование вокально-исполнительской культуры будущего учителя музыки на основе татарских певческих </w:t>
      </w:r>
      <w:proofErr w:type="gramStart"/>
      <w:r w:rsidRPr="005C79AD">
        <w:rPr>
          <w:rStyle w:val="3"/>
          <w:b w:val="0"/>
          <w:bCs w:val="0"/>
          <w:color w:val="000000"/>
        </w:rPr>
        <w:t>традиций :</w:t>
      </w:r>
      <w:proofErr w:type="gramEnd"/>
      <w:r w:rsidRPr="005C79AD">
        <w:rPr>
          <w:rStyle w:val="3"/>
          <w:b w:val="0"/>
          <w:bCs w:val="0"/>
          <w:color w:val="000000"/>
        </w:rPr>
        <w:t xml:space="preserve"> диссертация ... кандидата педагогических наук : 13.00.01 / Нургаянова Неля Хабибулловна; [Место защиты: Казан. (Приволж.) федер. ун-т</w:t>
      </w:r>
      <w:proofErr w:type="gramStart"/>
      <w:r w:rsidRPr="005C79AD">
        <w:rPr>
          <w:rStyle w:val="3"/>
          <w:b w:val="0"/>
          <w:bCs w:val="0"/>
          <w:color w:val="000000"/>
        </w:rPr>
        <w:t>].-</w:t>
      </w:r>
      <w:proofErr w:type="gramEnd"/>
      <w:r w:rsidRPr="005C79AD">
        <w:rPr>
          <w:rStyle w:val="3"/>
          <w:b w:val="0"/>
          <w:bCs w:val="0"/>
          <w:color w:val="000000"/>
        </w:rPr>
        <w:t xml:space="preserve"> Казань, 2012.- 220 с.: ил. РГБ ОД, 61 12-13/1382</w:t>
      </w:r>
    </w:p>
    <w:p w14:paraId="35D09B52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</w:p>
    <w:p w14:paraId="1EE36225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</w:p>
    <w:p w14:paraId="1438F89D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ФГАОУ ВПО «КАЗАНСКИМ (ПРИВОЛЖСКИМ)</w:t>
      </w:r>
    </w:p>
    <w:p w14:paraId="68A66A56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ФЕДЕРАЛЬНЫЙ УНИВЕРСИТЕТ»</w:t>
      </w:r>
    </w:p>
    <w:p w14:paraId="534A5423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На правах рукописи</w:t>
      </w:r>
    </w:p>
    <w:p w14:paraId="658A95F5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 xml:space="preserve"> </w:t>
      </w:r>
    </w:p>
    <w:p w14:paraId="10A7D0A4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</w:p>
    <w:p w14:paraId="10FBE7FE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Нургаянова Неля Хабибулловна</w:t>
      </w:r>
    </w:p>
    <w:p w14:paraId="2AFFA888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ФОРМИРОВАНИЕ ВОКАЛЬНО-ИСПОЛНИТЕЛЬСКОЙ КУЛЬТУРЫ</w:t>
      </w:r>
    </w:p>
    <w:p w14:paraId="2CF13828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БУДУЩЕГО УЧИТЕЛЯ МУЗЫКИ НА ОСНОВЕ</w:t>
      </w:r>
    </w:p>
    <w:p w14:paraId="3D042CB3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ТАТАРСКИХ ПЕВЧЕСКИХ ТРАДИЦИЙ</w:t>
      </w:r>
    </w:p>
    <w:p w14:paraId="6433A485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Специальность 13.00.01 - общая педагогика,</w:t>
      </w:r>
    </w:p>
    <w:p w14:paraId="2C3B65D3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история педагогики и образования</w:t>
      </w:r>
    </w:p>
    <w:p w14:paraId="7DBE0B84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ДИССЕРТАЦИЯ</w:t>
      </w:r>
    </w:p>
    <w:p w14:paraId="7ECCCC2C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на соискание ученой степени</w:t>
      </w:r>
    </w:p>
    <w:p w14:paraId="11C1B2B1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кандидата педагогических наук</w:t>
      </w:r>
    </w:p>
    <w:p w14:paraId="4EF0E9C5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Научный руководитель доктор педагогических наук, профессор Ф.Ш. Салитова</w:t>
      </w:r>
    </w:p>
    <w:p w14:paraId="0B45109F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 xml:space="preserve">Казань 2012 </w:t>
      </w:r>
    </w:p>
    <w:p w14:paraId="739B665F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СОДЕРЖАНИЕ</w:t>
      </w:r>
    </w:p>
    <w:p w14:paraId="2BB336B6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Введение</w:t>
      </w:r>
      <w:r w:rsidRPr="005C79AD">
        <w:rPr>
          <w:rStyle w:val="3"/>
          <w:b w:val="0"/>
          <w:bCs w:val="0"/>
          <w:color w:val="000000"/>
        </w:rPr>
        <w:tab/>
        <w:t>3</w:t>
      </w:r>
    </w:p>
    <w:p w14:paraId="1546A2AF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Глава 1. Теоретико-методологическое обоснование процесса формирования вокально-исполнительской культуры будущего учителя музыки на основе татарских певческих традиций</w:t>
      </w:r>
    </w:p>
    <w:p w14:paraId="51DBE0C0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1.1.</w:t>
      </w:r>
      <w:r w:rsidRPr="005C79AD">
        <w:rPr>
          <w:rStyle w:val="3"/>
          <w:b w:val="0"/>
          <w:bCs w:val="0"/>
          <w:color w:val="000000"/>
        </w:rPr>
        <w:tab/>
        <w:t>Сущность, содержание и структура вокально-исполнительской</w:t>
      </w:r>
    </w:p>
    <w:p w14:paraId="7B4A0308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lastRenderedPageBreak/>
        <w:t>культуры будущего учителя музыки</w:t>
      </w:r>
      <w:r w:rsidRPr="005C79AD">
        <w:rPr>
          <w:rStyle w:val="3"/>
          <w:b w:val="0"/>
          <w:bCs w:val="0"/>
          <w:color w:val="000000"/>
        </w:rPr>
        <w:tab/>
        <w:t>19</w:t>
      </w:r>
    </w:p>
    <w:p w14:paraId="61634F94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1.2.</w:t>
      </w:r>
      <w:r w:rsidRPr="005C79AD">
        <w:rPr>
          <w:rStyle w:val="3"/>
          <w:b w:val="0"/>
          <w:bCs w:val="0"/>
          <w:color w:val="000000"/>
        </w:rPr>
        <w:tab/>
        <w:t>Педагогический потенциал татарских певческих традиций в</w:t>
      </w:r>
    </w:p>
    <w:p w14:paraId="39F0BC67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формировании вокально-исполнительской культуры будущего учителя музыки</w:t>
      </w:r>
      <w:r w:rsidRPr="005C79AD">
        <w:rPr>
          <w:rStyle w:val="3"/>
          <w:b w:val="0"/>
          <w:bCs w:val="0"/>
          <w:color w:val="000000"/>
        </w:rPr>
        <w:tab/>
        <w:t>43</w:t>
      </w:r>
    </w:p>
    <w:p w14:paraId="63789AE0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1.3.</w:t>
      </w:r>
      <w:r w:rsidRPr="005C79AD">
        <w:rPr>
          <w:rStyle w:val="3"/>
          <w:b w:val="0"/>
          <w:bCs w:val="0"/>
          <w:color w:val="000000"/>
        </w:rPr>
        <w:tab/>
        <w:t>Педагогические условия формирования вокально-исполнительской культуры будущего учителя музыки на основе татарских певческих</w:t>
      </w:r>
    </w:p>
    <w:p w14:paraId="24DA6CF3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традиций</w:t>
      </w:r>
      <w:r w:rsidRPr="005C79AD">
        <w:rPr>
          <w:rStyle w:val="3"/>
          <w:b w:val="0"/>
          <w:bCs w:val="0"/>
          <w:color w:val="000000"/>
        </w:rPr>
        <w:tab/>
        <w:t>67</w:t>
      </w:r>
    </w:p>
    <w:p w14:paraId="6A927D7E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Выводы по первой главе</w:t>
      </w:r>
      <w:r w:rsidRPr="005C79AD">
        <w:rPr>
          <w:rStyle w:val="3"/>
          <w:b w:val="0"/>
          <w:bCs w:val="0"/>
          <w:color w:val="000000"/>
        </w:rPr>
        <w:tab/>
        <w:t>82</w:t>
      </w:r>
    </w:p>
    <w:p w14:paraId="10E5351A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Глава 2. Педагогическое обеспечение процесса формирования вокально-исполнительской культуры будущего учителя музыки на основе татарских певческих традиций</w:t>
      </w:r>
    </w:p>
    <w:p w14:paraId="4432D041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2.1.</w:t>
      </w:r>
      <w:r w:rsidRPr="005C79AD">
        <w:rPr>
          <w:rStyle w:val="3"/>
          <w:b w:val="0"/>
          <w:bCs w:val="0"/>
          <w:color w:val="000000"/>
        </w:rPr>
        <w:tab/>
        <w:t>Модель формирования вокально-исполнительской культуры будущего</w:t>
      </w:r>
    </w:p>
    <w:p w14:paraId="6C6C3516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учителя музыки на основе татарских певческих традиций</w:t>
      </w:r>
      <w:r w:rsidRPr="005C79AD">
        <w:rPr>
          <w:rStyle w:val="3"/>
          <w:b w:val="0"/>
          <w:bCs w:val="0"/>
          <w:color w:val="000000"/>
        </w:rPr>
        <w:tab/>
        <w:t>85</w:t>
      </w:r>
    </w:p>
    <w:p w14:paraId="0E3D8747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2.2.</w:t>
      </w:r>
      <w:r w:rsidRPr="005C79AD">
        <w:rPr>
          <w:rStyle w:val="3"/>
          <w:b w:val="0"/>
          <w:bCs w:val="0"/>
          <w:color w:val="000000"/>
        </w:rPr>
        <w:tab/>
        <w:t>Содержание, формы и методы формирования вокально¬</w:t>
      </w:r>
    </w:p>
    <w:p w14:paraId="697B730D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исполнительской культуры будущего учителя музыки на основе татарских певческих традиций</w:t>
      </w:r>
      <w:r w:rsidRPr="005C79AD">
        <w:rPr>
          <w:rStyle w:val="3"/>
          <w:b w:val="0"/>
          <w:bCs w:val="0"/>
          <w:color w:val="000000"/>
        </w:rPr>
        <w:tab/>
        <w:t>100</w:t>
      </w:r>
    </w:p>
    <w:p w14:paraId="3FF9A5C5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2.3.</w:t>
      </w:r>
      <w:r w:rsidRPr="005C79AD">
        <w:rPr>
          <w:rStyle w:val="3"/>
          <w:b w:val="0"/>
          <w:bCs w:val="0"/>
          <w:color w:val="000000"/>
        </w:rPr>
        <w:tab/>
        <w:t>Ход и результаты опытно-экспериментальной работы</w:t>
      </w:r>
      <w:r w:rsidRPr="005C79AD">
        <w:rPr>
          <w:rStyle w:val="3"/>
          <w:b w:val="0"/>
          <w:bCs w:val="0"/>
          <w:color w:val="000000"/>
        </w:rPr>
        <w:tab/>
        <w:t>120</w:t>
      </w:r>
    </w:p>
    <w:p w14:paraId="67594D8E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Выводы по второй главе</w:t>
      </w:r>
      <w:r w:rsidRPr="005C79AD">
        <w:rPr>
          <w:rStyle w:val="3"/>
          <w:b w:val="0"/>
          <w:bCs w:val="0"/>
          <w:color w:val="000000"/>
        </w:rPr>
        <w:tab/>
        <w:t>145</w:t>
      </w:r>
    </w:p>
    <w:p w14:paraId="68013C5E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Заключение</w:t>
      </w:r>
      <w:r w:rsidRPr="005C79AD">
        <w:rPr>
          <w:rStyle w:val="3"/>
          <w:b w:val="0"/>
          <w:bCs w:val="0"/>
          <w:color w:val="000000"/>
        </w:rPr>
        <w:tab/>
        <w:t xml:space="preserve"> 147</w:t>
      </w:r>
    </w:p>
    <w:p w14:paraId="1275BEB0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Библиография</w:t>
      </w:r>
      <w:r w:rsidRPr="005C79AD">
        <w:rPr>
          <w:rStyle w:val="3"/>
          <w:b w:val="0"/>
          <w:bCs w:val="0"/>
          <w:color w:val="000000"/>
        </w:rPr>
        <w:tab/>
        <w:t>153</w:t>
      </w:r>
    </w:p>
    <w:p w14:paraId="4A2125ED" w14:textId="77777777" w:rsidR="005C79AD" w:rsidRPr="005C79AD" w:rsidRDefault="005C79AD" w:rsidP="005C79AD">
      <w:pPr>
        <w:rPr>
          <w:rStyle w:val="3"/>
          <w:b w:val="0"/>
          <w:bCs w:val="0"/>
          <w:color w:val="000000"/>
        </w:rPr>
      </w:pPr>
      <w:r w:rsidRPr="005C79AD">
        <w:rPr>
          <w:rStyle w:val="3"/>
          <w:b w:val="0"/>
          <w:bCs w:val="0"/>
          <w:color w:val="000000"/>
        </w:rPr>
        <w:t>Приложения</w:t>
      </w:r>
      <w:r w:rsidRPr="005C79AD">
        <w:rPr>
          <w:rStyle w:val="3"/>
          <w:b w:val="0"/>
          <w:bCs w:val="0"/>
          <w:color w:val="000000"/>
        </w:rPr>
        <w:tab/>
        <w:t xml:space="preserve">173 </w:t>
      </w:r>
    </w:p>
    <w:p w14:paraId="260126A9" w14:textId="0D4BC5FF" w:rsidR="007F37DE" w:rsidRDefault="007F37DE" w:rsidP="005C79AD"/>
    <w:p w14:paraId="2EF78BE6" w14:textId="50DE7896" w:rsidR="005C79AD" w:rsidRDefault="005C79AD" w:rsidP="005C79AD"/>
    <w:p w14:paraId="01C4EF08" w14:textId="7B12C5E4" w:rsidR="005C79AD" w:rsidRDefault="005C79AD" w:rsidP="005C79AD"/>
    <w:p w14:paraId="508EC260" w14:textId="77777777" w:rsidR="005C79AD" w:rsidRDefault="005C79AD" w:rsidP="005C79AD">
      <w:pPr>
        <w:pStyle w:val="423"/>
        <w:keepNext/>
        <w:keepLines/>
        <w:shd w:val="clear" w:color="auto" w:fill="auto"/>
        <w:ind w:left="20"/>
      </w:pPr>
      <w:bookmarkStart w:id="0" w:name="bookmark10"/>
      <w:r>
        <w:rPr>
          <w:rStyle w:val="422"/>
          <w:color w:val="000000"/>
        </w:rPr>
        <w:t>ЗАКЛЮЧЕНИЕ</w:t>
      </w:r>
      <w:bookmarkEnd w:id="0"/>
    </w:p>
    <w:p w14:paraId="0FC3CC26" w14:textId="77777777" w:rsidR="005C79AD" w:rsidRDefault="005C79AD" w:rsidP="005C79AD">
      <w:pPr>
        <w:pStyle w:val="210"/>
        <w:shd w:val="clear" w:color="auto" w:fill="auto"/>
        <w:spacing w:after="0"/>
        <w:ind w:right="140" w:firstLine="740"/>
        <w:jc w:val="both"/>
      </w:pPr>
      <w:r>
        <w:rPr>
          <w:rStyle w:val="21"/>
          <w:color w:val="000000"/>
        </w:rPr>
        <w:t xml:space="preserve">Подводя итоги проведенного исследования и внедрения его результатов </w:t>
      </w:r>
      <w:r>
        <w:rPr>
          <w:rStyle w:val="21"/>
          <w:color w:val="000000"/>
        </w:rPr>
        <w:lastRenderedPageBreak/>
        <w:t>в учебный процесс учреждений высшего профессионального образования, можно сделать ряд выводов:</w:t>
      </w:r>
    </w:p>
    <w:p w14:paraId="657B772A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40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Формирование вокально-исполнительской культуры будущего учителя музыки на основе татарских певческих традиций является актуальной педагогической проблемой в условиях современного образования. Успешность вокально-исполнительской деятельности учителя музыки в образовательном учреждении зависит, прежде всего, от высокого уровня развития профессионально-значимых качеств его личности. Актуальность исследования обусловлена недостаточной разработанностью педагогических условий для формирования вокально-исполнительской культуры у будущих учителей музыки на основе татарских певческих традиций.</w:t>
      </w:r>
    </w:p>
    <w:p w14:paraId="4C976A49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40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ходе исследования нами решен комплекс задач, вытекающих из цели и гипотезы. В результате было уточнено понятие «вокально</w:t>
      </w:r>
      <w:r>
        <w:rPr>
          <w:rStyle w:val="21"/>
          <w:color w:val="000000"/>
        </w:rPr>
        <w:softHyphen/>
        <w:t>исполнительская культура учителя музыки», структурно и содержательно представляемое как интегративное образование личности, характеризующееся взаимодействием и взаимопроникновением когнитивного, деятельностно</w:t>
      </w:r>
      <w:r>
        <w:rPr>
          <w:rStyle w:val="21"/>
          <w:color w:val="000000"/>
        </w:rPr>
        <w:softHyphen/>
        <w:t>практического, эмоционально-чувственного и креативно-волевого компонентов, включающих совокупность взаимосвязанных общекультурных, профессиональных и специальных знаний, вокально-исполнительских умений и певческих навыков, специальных способностей к вокально-исполнительской деятельности, сформированность которых обеспечивает готовность и способность учителя музыки к успешной творческой профессиональной деятельности в образовательном учреждении на основе синтеза исполнительской и педагогической составляющих профессионально</w:t>
      </w:r>
      <w:r>
        <w:rPr>
          <w:rStyle w:val="21"/>
          <w:color w:val="000000"/>
        </w:rPr>
        <w:softHyphen/>
        <w:t>педагогической культуры учителя музыки.</w:t>
      </w:r>
    </w:p>
    <w:p w14:paraId="67D55F2A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40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 xml:space="preserve">В ходе исследования выявлен педагогический потенциал татарских певческих традиции в формировании вокально-исполнительскои культуры </w:t>
      </w:r>
      <w:r>
        <w:rPr>
          <w:rStyle w:val="21"/>
          <w:color w:val="000000"/>
        </w:rPr>
        <w:lastRenderedPageBreak/>
        <w:t>будущего учителя музыки, связанный с этнопедагогической культурой татарского народа в виде опыта устной передачи песенного наследия и исполнительского мастерства из поколения в поколение на основе: народно</w:t>
      </w:r>
      <w:r>
        <w:rPr>
          <w:rStyle w:val="21"/>
          <w:color w:val="000000"/>
        </w:rPr>
        <w:softHyphen/>
        <w:t>песенного творчества (формирование нравственно-эстетического потенциала влияния вокального искусства на духовность человека с древнейших времен, в том числе через ритуалы, обряды и песенный фольклор); певческого искусства праздничных действий (джиен, нардуган, навруз, сабантуй и др.); закрепление нравственных ценностей через искусство певцов-сказителей, как далеких предшественников современных учителей музыки (эпические сказания, легенды, дастаны и т.д.); духовной мусульманской культуры (татарская школа интонирования); книжных напевов (речитация Корана, байты, мунаджаты и т.д.); в настоящее время бытующих - озын кей (протяжный напев), авыл кее (деревенский напев), кыска кей (короткий напев), уен кее (игровой напев) и др., определяющих наличие устойчивой традиции передачи певческой культуры от поколения к поколению.</w:t>
      </w:r>
    </w:p>
    <w:p w14:paraId="7FB0B6A1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411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В процессе исследования обоснована совокупность следующих педагогических условий, способствующих эффективному формированию вокально-исполнительской культуры будущего учителя музыки на основе татарских певческих традиций:</w:t>
      </w:r>
    </w:p>
    <w:p w14:paraId="395B3FAA" w14:textId="77777777" w:rsidR="005C79AD" w:rsidRDefault="005C79AD" w:rsidP="005C79AD">
      <w:pPr>
        <w:pStyle w:val="210"/>
        <w:numPr>
          <w:ilvl w:val="0"/>
          <w:numId w:val="42"/>
        </w:numPr>
        <w:shd w:val="clear" w:color="auto" w:fill="auto"/>
        <w:tabs>
          <w:tab w:val="left" w:pos="101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усиление этнопедагогической направленности содержания вокальной подготовки будущего учителя музыки путем обогащения учебных дисциплин материалами, раскрывающими татарские певческие традиции, и разработки соответствующего дидактического сопровождения;</w:t>
      </w:r>
    </w:p>
    <w:p w14:paraId="7CA63C4A" w14:textId="77777777" w:rsidR="005C79AD" w:rsidRDefault="005C79AD" w:rsidP="005C79AD">
      <w:pPr>
        <w:pStyle w:val="210"/>
        <w:numPr>
          <w:ilvl w:val="0"/>
          <w:numId w:val="42"/>
        </w:numPr>
        <w:shd w:val="clear" w:color="auto" w:fill="auto"/>
        <w:tabs>
          <w:tab w:val="left" w:pos="1013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интеграция аудиторной и внеаудиторной учебной, самостоятельной, концертно-практической деятельности студентов, направленной на формирование вокально-исполнительской культуры будущего учителя музыки на основе татарских певческих традиций;</w:t>
      </w:r>
    </w:p>
    <w:p w14:paraId="1063D36E" w14:textId="77777777" w:rsidR="005C79AD" w:rsidRDefault="005C79AD" w:rsidP="005C79AD">
      <w:pPr>
        <w:pStyle w:val="210"/>
        <w:numPr>
          <w:ilvl w:val="0"/>
          <w:numId w:val="42"/>
        </w:numPr>
        <w:shd w:val="clear" w:color="auto" w:fill="auto"/>
        <w:tabs>
          <w:tab w:val="left" w:pos="1195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lastRenderedPageBreak/>
        <w:t>использование мониторинга как средства оценки динамики формирования вокально-исполнительской культуры будущего учителя музыки на основе татарских певческих традиций.</w:t>
      </w:r>
    </w:p>
    <w:p w14:paraId="60B2CFD7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07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 структуре вокально-исполнительской культуры будущего учителя музыки целесообразно выделение следующих критериальных компонентов: когнитивного, деятельностно-практического, эмоционально-чувственного, креативно-волевого.</w:t>
      </w:r>
    </w:p>
    <w:p w14:paraId="46DC63BD" w14:textId="77777777" w:rsidR="005C79AD" w:rsidRDefault="005C79AD" w:rsidP="005C79AD">
      <w:pPr>
        <w:pStyle w:val="210"/>
        <w:shd w:val="clear" w:color="auto" w:fill="auto"/>
        <w:spacing w:after="0"/>
        <w:ind w:right="160" w:firstLine="760"/>
        <w:jc w:val="both"/>
      </w:pPr>
      <w:r>
        <w:rPr>
          <w:rStyle w:val="21"/>
          <w:color w:val="000000"/>
        </w:rPr>
        <w:t>Когнитивный компонент вокально-исполнительской культуры характеризует ее как комплекс знании, и соответствует такой форме присвоения продуктов культуры как изучение и понимание. Творческий процесс невозможен без накопленных глубоких знаний, предварительной работы, обдумывания замысла, вынашивания идеи, сосредоточенности и т. д.</w:t>
      </w:r>
    </w:p>
    <w:p w14:paraId="0FEB3470" w14:textId="77777777" w:rsidR="005C79AD" w:rsidRDefault="005C79AD" w:rsidP="005C79AD">
      <w:pPr>
        <w:pStyle w:val="210"/>
        <w:shd w:val="clear" w:color="auto" w:fill="auto"/>
        <w:spacing w:after="0"/>
        <w:ind w:right="160" w:firstLine="760"/>
        <w:jc w:val="both"/>
      </w:pPr>
      <w:r>
        <w:rPr>
          <w:rStyle w:val="21"/>
          <w:color w:val="000000"/>
        </w:rPr>
        <w:t>Искусство исполнителя оказывает впечатление на слушателя только тогда, когда замысел произведения воплощен в яркой эмоциональной и технически совершенной художественной форме. Певческая деятельность, как и любая другая деятельность, требует многих умений и навыков: владения голосом, пения с аккомпанементом, чтения нотного текста и т. д., которые составляют технику данного вида деятельности.</w:t>
      </w:r>
    </w:p>
    <w:p w14:paraId="4D4759F2" w14:textId="77777777" w:rsidR="005C79AD" w:rsidRDefault="005C79AD" w:rsidP="005C79AD">
      <w:pPr>
        <w:pStyle w:val="210"/>
        <w:shd w:val="clear" w:color="auto" w:fill="auto"/>
        <w:spacing w:after="0"/>
        <w:ind w:right="160" w:firstLine="760"/>
        <w:jc w:val="both"/>
      </w:pPr>
      <w:r>
        <w:rPr>
          <w:rStyle w:val="21"/>
          <w:color w:val="000000"/>
        </w:rPr>
        <w:t xml:space="preserve">Деятельностно-практический компонент вокально-исполнительской культуры будущего учителя музыки требует владения певческим голосом, дыханием, артикуляцией, четкой дикции, пения с аккомпанементом, чтения с листа и т.д. Ключ к овладению вокальной техникой лежит через выработку автоматически протекающих операций - вокальных навыков, позволяющих </w:t>
      </w:r>
      <w:r>
        <w:rPr>
          <w:rStyle w:val="21"/>
          <w:color w:val="000000"/>
        </w:rPr>
        <w:lastRenderedPageBreak/>
        <w:t>заниматься решением сложных творческих задач, требующих умений передавать эмоционально-образное содержание вокального произведения, своим исполнением вызвать сопереживание у слушателя. Будущему учителю музыки необходимо формирование способности к соединению художественного и научного аспектов мышления, его музыкальной, психологической и педагогической сторон в процессе вокальной работы с детскими голосами, умения распознавать и развивать вокальные и исполнительские данные учеников, раскрывать их способности, поддерживать творческие замыслы.</w:t>
      </w:r>
    </w:p>
    <w:p w14:paraId="455267AA" w14:textId="77777777" w:rsidR="005C79AD" w:rsidRDefault="005C79AD" w:rsidP="005C79A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>Эмоционально-чувственный компонент понимается как переживание человеком своего отношения к окружающей действительности. Формирование эмоционально-чувственного мира человека является необходимым условием развития его как личности. Предметами эмоционально-чувственного мира человека становятся, прежде всего, те явления и условия, от которых зависит развитие событий, значимых для личности. Сформировавшиеся чувства становятся ведущими образованиями эмоциональной сферы.</w:t>
      </w:r>
    </w:p>
    <w:p w14:paraId="055FBAEE" w14:textId="77777777" w:rsidR="005C79AD" w:rsidRDefault="005C79AD" w:rsidP="005C79A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 xml:space="preserve">Эмоционально-чувственный компонент педагогического сознания составляют любовь к детям, педагогическая интуиция, воображение, эмоциональность, которые способствует повышению привлекательности педагогической деятельности для учеников и самих педагогов. На основе этого компонента развивается важный элемент педагогического сознания - эмпатия - сопереживание. Значимым личностным качеством учителя музыки является эмоциональная устойчивость. Лишь когда между педагогом и учеником возникает положительный эмоциональный контакт - происходит творческое взаимодействие, в результате которого возможно развитие личностных и </w:t>
      </w:r>
      <w:r>
        <w:rPr>
          <w:rStyle w:val="21"/>
          <w:color w:val="000000"/>
        </w:rPr>
        <w:lastRenderedPageBreak/>
        <w:t>профессиональных качеств будущего учителя музыки.</w:t>
      </w:r>
    </w:p>
    <w:p w14:paraId="4492EB97" w14:textId="77777777" w:rsidR="005C79AD" w:rsidRDefault="005C79AD" w:rsidP="005C79A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>Креативно-волевой компонент мы связываем с творческой деятельностью, результатом которой является создание новых материальных и духовных ценностей. Творчество - сознательный труд, связанный с большим волевым усилием. Постоянный поиск идей, наблюдательность, развитие памяти, интеллектуальных способностей, эмоциональной сферы, чтение литературы, расширение кругозора приучают как к постоянному накоплению материала для творчества, так и к систематическому труду в этой области. Творческая фантазия, работа воображения направляются сознанием, действующим согласно мировоззрению и эстетическим взглядам художника. У исполнителя в процессе творчества происходит поиск выразительных средств: динамики, темпа, фразировки, интонации, агогики, выразительного слова. В основе волевой деятельности лежат действенные желания, мотивы, которые побуждают добиваться поставленной цели, заставляют напрягаться волю.</w:t>
      </w:r>
    </w:p>
    <w:p w14:paraId="5364E35C" w14:textId="77777777" w:rsidR="005C79AD" w:rsidRDefault="005C79AD" w:rsidP="005C79AD">
      <w:pPr>
        <w:pStyle w:val="210"/>
        <w:shd w:val="clear" w:color="auto" w:fill="auto"/>
        <w:spacing w:after="0"/>
        <w:ind w:firstLine="760"/>
        <w:jc w:val="both"/>
      </w:pPr>
      <w:r>
        <w:rPr>
          <w:rStyle w:val="21"/>
          <w:color w:val="000000"/>
        </w:rPr>
        <w:t>Современная педагогика требует творческого подхода к каждому ученику, его индивидуальности. Творческий педагог должен уметь понять ученика, распознать его вокальные и исполнительские данные, видеть вокальные недостатки и найти пути к их исправлению с помощью специальных приемов и упражнений. Педагог-музыкант должен воспитывать креативность и волю у своих учеников, пробуждать потребность в творческом самосовершенствовании, помогать раскрывать их способности, уважать и поддерживать творческие замыслы, никогда не подавлять их волю. Здесь уже недостаточно только личного исполнительского опыта - необходимы разносторонние знания, творческая интуиция, основанная на накопленном опыте и знаниях.</w:t>
      </w:r>
    </w:p>
    <w:p w14:paraId="607322A7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20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Разработанная педагогическая модель формирования вокально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 xml:space="preserve">исполнительской культуры будущего учителя музыки на основе татарских певческих традиций основана на совокупности следующих компонентов: </w:t>
      </w:r>
      <w:r>
        <w:rPr>
          <w:rStyle w:val="28"/>
          <w:color w:val="000000"/>
        </w:rPr>
        <w:t>целевого</w:t>
      </w:r>
      <w:r>
        <w:rPr>
          <w:rStyle w:val="21"/>
          <w:color w:val="000000"/>
        </w:rPr>
        <w:t xml:space="preserve"> (вооружение будущих учителей музыки теоретическими и практическими знаниями о татарских певческих традициях; воспитание практической готовности будущих учителей музыки к процессу формирования вокально-исполнительской культуры у детей; развитие у студентов индивидуальных особенностей личности, составляющих приоритетные профессиональные качества будущего учителя музыки в области вокального исполнительства); </w:t>
      </w:r>
      <w:r>
        <w:rPr>
          <w:rStyle w:val="28"/>
          <w:color w:val="000000"/>
        </w:rPr>
        <w:t>методологического</w:t>
      </w:r>
      <w:r>
        <w:rPr>
          <w:rStyle w:val="21"/>
          <w:color w:val="000000"/>
        </w:rPr>
        <w:t xml:space="preserve"> (опора на принципы: научности, связи теории и практики, субъектности, сотрудничества, креативности, толерантности, интеграции); </w:t>
      </w:r>
      <w:r>
        <w:rPr>
          <w:rStyle w:val="28"/>
          <w:color w:val="000000"/>
        </w:rPr>
        <w:t>содержательного</w:t>
      </w:r>
      <w:r>
        <w:rPr>
          <w:rStyle w:val="21"/>
          <w:color w:val="000000"/>
        </w:rPr>
        <w:t xml:space="preserve"> (разработка спецкурсов «Основы татарского традиционного вокального исполнительства», «История и педагогика вокального исполнительства» и их учебно-методических комплексов, репертуарных списков, сборников вокализов, практических задании, методических рекомендации, индивидуальных учебных программ на основе татарских певческих традиций); </w:t>
      </w:r>
      <w:r>
        <w:rPr>
          <w:rStyle w:val="28"/>
          <w:color w:val="000000"/>
        </w:rPr>
        <w:t>процессуального</w:t>
      </w:r>
      <w:r>
        <w:rPr>
          <w:rStyle w:val="21"/>
          <w:color w:val="000000"/>
        </w:rPr>
        <w:t xml:space="preserve"> (методы обучения и воспитания: традиционные и специальные (активные, артистические игровые, ролевые, соревновательные); формы: лекция, индивидуальные практические</w:t>
      </w:r>
    </w:p>
    <w:p w14:paraId="3C053F87" w14:textId="77777777" w:rsidR="005C79AD" w:rsidRDefault="005C79AD" w:rsidP="005C79AD">
      <w:pPr>
        <w:pStyle w:val="210"/>
        <w:shd w:val="clear" w:color="auto" w:fill="auto"/>
        <w:tabs>
          <w:tab w:val="left" w:pos="2702"/>
          <w:tab w:val="right" w:pos="9629"/>
        </w:tabs>
        <w:spacing w:after="0"/>
        <w:jc w:val="both"/>
      </w:pPr>
      <w:r>
        <w:rPr>
          <w:rStyle w:val="21"/>
          <w:color w:val="000000"/>
        </w:rPr>
        <w:t xml:space="preserve">занятия, концертно-просветительская деятельность, исполнительская, педагогическая практика, посещение мастер-классов, концертов, театров, музеев, проведение вокальных конкурсов, исполнение экзаменационной творческой программы перед зрительской аудиторией); </w:t>
      </w:r>
      <w:r>
        <w:rPr>
          <w:rStyle w:val="28"/>
          <w:color w:val="000000"/>
        </w:rPr>
        <w:t xml:space="preserve">диагностического </w:t>
      </w:r>
      <w:r>
        <w:rPr>
          <w:rStyle w:val="21"/>
          <w:color w:val="000000"/>
        </w:rPr>
        <w:t>(оценка уровня сформированности вокально-исполнительской культуры в соответствии с установленными критериями: когнитивным, деятельностно</w:t>
      </w:r>
      <w:r>
        <w:rPr>
          <w:rStyle w:val="21"/>
          <w:color w:val="000000"/>
        </w:rPr>
        <w:softHyphen/>
        <w:t>практическим,</w:t>
      </w:r>
      <w:r>
        <w:rPr>
          <w:rStyle w:val="21"/>
          <w:color w:val="000000"/>
        </w:rPr>
        <w:tab/>
        <w:t>эмоционально-чувственным,</w:t>
      </w:r>
      <w:r>
        <w:rPr>
          <w:rStyle w:val="21"/>
          <w:color w:val="000000"/>
        </w:rPr>
        <w:tab/>
        <w:t>креативно-волевым).</w:t>
      </w:r>
    </w:p>
    <w:p w14:paraId="3062F63C" w14:textId="77777777" w:rsidR="005C79AD" w:rsidRDefault="005C79AD" w:rsidP="005C79AD">
      <w:pPr>
        <w:pStyle w:val="210"/>
        <w:shd w:val="clear" w:color="auto" w:fill="auto"/>
        <w:spacing w:after="0"/>
        <w:jc w:val="both"/>
      </w:pPr>
      <w:r>
        <w:rPr>
          <w:rStyle w:val="21"/>
          <w:color w:val="000000"/>
        </w:rPr>
        <w:lastRenderedPageBreak/>
        <w:t>Моделирование помогает систематизировать знания, представить схематично отображение выбранного нами процесса, сохраняющее его особенности.</w:t>
      </w:r>
    </w:p>
    <w:p w14:paraId="5F8D2D9E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430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Для выявления уровня сформированности вокально</w:t>
      </w:r>
      <w:r>
        <w:rPr>
          <w:rStyle w:val="21"/>
          <w:color w:val="000000"/>
        </w:rPr>
        <w:softHyphen/>
        <w:t>исполнительской культуры будущего учителя музыки определены методики по каждому компоненту, включающие критериальные характеристики каждого уровня (высокий, средний, достаточный, низкий). Когнитивный и деятельностно-практический компоненты были исследованы с помощью разработанных нами тестов по изучению индивидуальных достижений студентов. Исследование эмоционально-чувственного компонента мы проводили с использованием методики «эмоционального интеллекта», предложенной Н. Холлом. Для выявления уровня сформированности креативно-волевого компонента мы использовали методику Е. Торренса в модификации Е.Е. Туник.</w:t>
      </w:r>
    </w:p>
    <w:p w14:paraId="461BEDB9" w14:textId="77777777" w:rsidR="005C79AD" w:rsidRDefault="005C79AD" w:rsidP="005C79AD">
      <w:pPr>
        <w:pStyle w:val="210"/>
        <w:numPr>
          <w:ilvl w:val="0"/>
          <w:numId w:val="41"/>
        </w:numPr>
        <w:shd w:val="clear" w:color="auto" w:fill="auto"/>
        <w:tabs>
          <w:tab w:val="left" w:pos="1046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Результаты, полученные в ходе теоретического анализа и опытно</w:t>
      </w:r>
      <w:r>
        <w:rPr>
          <w:rStyle w:val="21"/>
          <w:color w:val="000000"/>
        </w:rPr>
        <w:softHyphen/>
        <w:t>экспериментальной работы, свидетельствуют о том, что задачи исследования решены, гипотеза доказана. Материалы исследования могут быть использованы в организации деятельности будущих учителей музыки.</w:t>
      </w:r>
    </w:p>
    <w:p w14:paraId="1A3EC0AE" w14:textId="77777777" w:rsidR="005C79AD" w:rsidRPr="005C79AD" w:rsidRDefault="005C79AD" w:rsidP="005C79AD"/>
    <w:sectPr w:rsidR="005C79AD" w:rsidRPr="005C79A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0F00" w14:textId="77777777" w:rsidR="005E53C5" w:rsidRDefault="005E53C5">
      <w:pPr>
        <w:spacing w:after="0" w:line="240" w:lineRule="auto"/>
      </w:pPr>
      <w:r>
        <w:separator/>
      </w:r>
    </w:p>
  </w:endnote>
  <w:endnote w:type="continuationSeparator" w:id="0">
    <w:p w14:paraId="5FB0DBA2" w14:textId="77777777" w:rsidR="005E53C5" w:rsidRDefault="005E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4647" w14:textId="77777777" w:rsidR="005E53C5" w:rsidRDefault="005E53C5">
      <w:pPr>
        <w:spacing w:after="0" w:line="240" w:lineRule="auto"/>
      </w:pPr>
      <w:r>
        <w:separator/>
      </w:r>
    </w:p>
  </w:footnote>
  <w:footnote w:type="continuationSeparator" w:id="0">
    <w:p w14:paraId="589E44A8" w14:textId="77777777" w:rsidR="005E53C5" w:rsidRDefault="005E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E5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67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Letter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39"/>
    <w:multiLevelType w:val="multilevel"/>
    <w:tmpl w:val="0000003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0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1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2" w15:restartNumberingAfterBreak="0">
    <w:nsid w:val="00000069"/>
    <w:multiLevelType w:val="multilevel"/>
    <w:tmpl w:val="0000006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4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B"/>
    <w:multiLevelType w:val="multilevel"/>
    <w:tmpl w:val="0000007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7D"/>
    <w:multiLevelType w:val="multilevel"/>
    <w:tmpl w:val="0000007C"/>
    <w:lvl w:ilvl="0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8"/>
      <w:numFmt w:val="decimal"/>
      <w:lvlText w:val="%1.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7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91"/>
    <w:multiLevelType w:val="multilevel"/>
    <w:tmpl w:val="00000090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9D"/>
    <w:multiLevelType w:val="multilevel"/>
    <w:tmpl w:val="0000009C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2" w15:restartNumberingAfterBreak="0">
    <w:nsid w:val="000000A3"/>
    <w:multiLevelType w:val="multilevel"/>
    <w:tmpl w:val="000000A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A5"/>
    <w:multiLevelType w:val="multilevel"/>
    <w:tmpl w:val="000000A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9"/>
  </w:num>
  <w:num w:numId="6">
    <w:abstractNumId w:val="32"/>
  </w:num>
  <w:num w:numId="7">
    <w:abstractNumId w:val="39"/>
  </w:num>
  <w:num w:numId="8">
    <w:abstractNumId w:val="40"/>
  </w:num>
  <w:num w:numId="9">
    <w:abstractNumId w:val="10"/>
  </w:num>
  <w:num w:numId="10">
    <w:abstractNumId w:val="3"/>
  </w:num>
  <w:num w:numId="11">
    <w:abstractNumId w:val="34"/>
  </w:num>
  <w:num w:numId="12">
    <w:abstractNumId w:val="35"/>
  </w:num>
  <w:num w:numId="13">
    <w:abstractNumId w:val="37"/>
  </w:num>
  <w:num w:numId="14">
    <w:abstractNumId w:val="38"/>
  </w:num>
  <w:num w:numId="15">
    <w:abstractNumId w:val="20"/>
  </w:num>
  <w:num w:numId="16">
    <w:abstractNumId w:val="8"/>
  </w:num>
  <w:num w:numId="17">
    <w:abstractNumId w:val="31"/>
  </w:num>
  <w:num w:numId="18">
    <w:abstractNumId w:val="36"/>
  </w:num>
  <w:num w:numId="19">
    <w:abstractNumId w:val="21"/>
  </w:num>
  <w:num w:numId="20">
    <w:abstractNumId w:val="22"/>
  </w:num>
  <w:num w:numId="21">
    <w:abstractNumId w:val="23"/>
  </w:num>
  <w:num w:numId="22">
    <w:abstractNumId w:val="18"/>
  </w:num>
  <w:num w:numId="23">
    <w:abstractNumId w:val="41"/>
  </w:num>
  <w:num w:numId="24">
    <w:abstractNumId w:val="42"/>
  </w:num>
  <w:num w:numId="25">
    <w:abstractNumId w:val="43"/>
  </w:num>
  <w:num w:numId="26">
    <w:abstractNumId w:val="24"/>
  </w:num>
  <w:num w:numId="27">
    <w:abstractNumId w:val="11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0"/>
  </w:num>
  <w:num w:numId="33">
    <w:abstractNumId w:val="33"/>
  </w:num>
  <w:num w:numId="34">
    <w:abstractNumId w:val="19"/>
  </w:num>
  <w:num w:numId="35">
    <w:abstractNumId w:val="26"/>
  </w:num>
  <w:num w:numId="36">
    <w:abstractNumId w:val="27"/>
  </w:num>
  <w:num w:numId="37">
    <w:abstractNumId w:val="13"/>
  </w:num>
  <w:num w:numId="38">
    <w:abstractNumId w:val="25"/>
  </w:num>
  <w:num w:numId="39">
    <w:abstractNumId w:val="28"/>
  </w:num>
  <w:num w:numId="40">
    <w:abstractNumId w:val="15"/>
  </w:num>
  <w:num w:numId="41">
    <w:abstractNumId w:val="16"/>
  </w:num>
  <w:num w:numId="42">
    <w:abstractNumId w:val="17"/>
  </w:num>
  <w:num w:numId="43">
    <w:abstractNumId w:val="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3C5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57374</TotalTime>
  <Pages>9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10600</cp:revision>
  <dcterms:created xsi:type="dcterms:W3CDTF">2024-06-20T08:51:00Z</dcterms:created>
  <dcterms:modified xsi:type="dcterms:W3CDTF">2024-11-02T18:56:00Z</dcterms:modified>
  <cp:category/>
</cp:coreProperties>
</file>