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ED36" w14:textId="31BD1ED3" w:rsidR="001C2D70" w:rsidRDefault="00DA469B" w:rsidP="00DA469B">
      <w:pPr>
        <w:rPr>
          <w:rFonts w:ascii="Verdana" w:hAnsi="Verdana"/>
          <w:b/>
          <w:bCs/>
          <w:color w:val="000000"/>
          <w:shd w:val="clear" w:color="auto" w:fill="FFFFFF"/>
        </w:rPr>
      </w:pPr>
      <w:r>
        <w:rPr>
          <w:rFonts w:ascii="Verdana" w:hAnsi="Verdana"/>
          <w:b/>
          <w:bCs/>
          <w:color w:val="000000"/>
          <w:shd w:val="clear" w:color="auto" w:fill="FFFFFF"/>
        </w:rPr>
        <w:t>Семоненко Віктор Васильович. Формування конкурентного середовища у сфері послуг суспільного сектора економіки в умовах ринкової трансформації: дис... канд. екон. наук: 08.01.01 / Харківський національний ун-т ім. В.Н.Каразіна.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469B" w:rsidRPr="00DA469B" w14:paraId="30C543CC" w14:textId="77777777" w:rsidTr="00DA46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469B" w:rsidRPr="00DA469B" w14:paraId="54A6E2E1" w14:textId="77777777">
              <w:trPr>
                <w:tblCellSpacing w:w="0" w:type="dxa"/>
              </w:trPr>
              <w:tc>
                <w:tcPr>
                  <w:tcW w:w="0" w:type="auto"/>
                  <w:vAlign w:val="center"/>
                  <w:hideMark/>
                </w:tcPr>
                <w:p w14:paraId="554F3711"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lastRenderedPageBreak/>
                    <w:t>Семоненко В. В. Формування конкурентного середовища у сфері послуг суспільного сектора економіки в умовах ринкової трансформації.- Рукопис.</w:t>
                  </w:r>
                </w:p>
                <w:p w14:paraId="5B0071A6"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Харківський національний університет ім. В.Н.Каразіна.- Харків, 2004.</w:t>
                  </w:r>
                </w:p>
                <w:p w14:paraId="3B14CB6A"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Виділено два основних види державного монополізму в постсоціалістичній господарській системі - безпосередній і опосередкований (непрямий), і розкрито їхній взаємний вплив. Систематизовано аномалії розвитку конкурентного середовища в перехідній економіці. Розкрито співвідношення технологічного та інституційного монополізму.</w:t>
                  </w:r>
                </w:p>
                <w:p w14:paraId="27CC80BE"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Виявлено феномен хронічної збитковості деяких природних монополій в умовах інверсійної економіки. Визначено головні фактори ринкового реформування сфери послуг суспільного сектора. Обґрунтовано можливість двох основних варіантів проведення реформи житлово-комунального господарства – бюрократичного і демократичного. Сформульовано принципи формування конкурентного механізму в сфері послуг суспільного сектора .</w:t>
                  </w:r>
                </w:p>
                <w:p w14:paraId="6B73CDB1"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Виявлено інституціональні обмеження розвитку нових форм організації попиту на послуги суспільного сектора і визначено шляхи подолання цих обмежень.</w:t>
                  </w:r>
                </w:p>
              </w:tc>
            </w:tr>
          </w:tbl>
          <w:p w14:paraId="215ABB04" w14:textId="77777777" w:rsidR="00DA469B" w:rsidRPr="00DA469B" w:rsidRDefault="00DA469B" w:rsidP="00DA469B">
            <w:pPr>
              <w:spacing w:after="0" w:line="240" w:lineRule="auto"/>
              <w:rPr>
                <w:rFonts w:ascii="Times New Roman" w:eastAsia="Times New Roman" w:hAnsi="Times New Roman" w:cs="Times New Roman"/>
                <w:sz w:val="24"/>
                <w:szCs w:val="24"/>
              </w:rPr>
            </w:pPr>
          </w:p>
        </w:tc>
      </w:tr>
      <w:tr w:rsidR="00DA469B" w:rsidRPr="00DA469B" w14:paraId="79C3D1FF" w14:textId="77777777" w:rsidTr="00DA46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469B" w:rsidRPr="00DA469B" w14:paraId="4F11B4FD" w14:textId="77777777">
              <w:trPr>
                <w:tblCellSpacing w:w="0" w:type="dxa"/>
              </w:trPr>
              <w:tc>
                <w:tcPr>
                  <w:tcW w:w="0" w:type="auto"/>
                  <w:vAlign w:val="center"/>
                  <w:hideMark/>
                </w:tcPr>
                <w:p w14:paraId="1AC6BD8E"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Головне наукове завдання, що було поставлене в дисертації – визначити специфіку формування конкурентного середовища в сфері послуг суспільного сектора економіки в умовах ринкової трансформації.</w:t>
                  </w:r>
                </w:p>
                <w:p w14:paraId="5562BF42"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Для вирішення цього завдання було використано відповідні методи дослідження, які дозволили уточнити уявлення про особливості формування конкурентного середовища в перехідній економіці інверсійного типу.</w:t>
                  </w:r>
                </w:p>
                <w:p w14:paraId="48503C8A"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Оскільки економіка України являє собою приклад саме інверсійної економіки, то теоретичний аналіз дозволив більш обгрунтовано підійти до визначення реальних проблем та перспектив реформування сфери послуг суспільного сектора на прикладі сфери житлово-комунальних послуг. Важливість наукового підходу до реформування підвищується у зв’язку з тим, що з прийняттям влітку 2004 р. Закону України «Про житлово-комунальні послуги», деякі практичні проблеми були вирішені не кращим чином. Зокрема, мешканці багатоквартирних будинків були фактично позбавлені права безпосереднього укладання договорів з постачальниками послуг.</w:t>
                  </w:r>
                </w:p>
                <w:p w14:paraId="492F53BF"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Тому дисертант звернув особливу увагу на практичне вирішення проблеми удосконалення нормоутворення, що позволило обґрунтовано заходи щодо його удосконалення в сфері регулювання системи надання послуг життєзабезпечення в суспільному секторі шляхом:</w:t>
                  </w:r>
                </w:p>
                <w:p w14:paraId="37ACA985"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одномоментного погашення заборгованості споживачів за комунальні послуги за рахунок компенсаційних сум, передбачених на відновлення заощаджень населення в Ощадбанку;</w:t>
                  </w:r>
                </w:p>
                <w:p w14:paraId="75F012B4"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законодавчого закріплення можливості існування прямих договірних відносин між постачальниками житлово-комунальних послуг і споживачами - мешканцями багатоквартирних будинків;</w:t>
                  </w:r>
                </w:p>
                <w:p w14:paraId="160A76DC"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lastRenderedPageBreak/>
                    <w:t>реалізації принципу поквартирноі установки приладів обліку послуг водо- і теплопостачання в діючому житловому фонді з фінансуванням відповідних витрат з установки і технічного обслуговування цих приладів за рахунок постачальників;</w:t>
                  </w:r>
                </w:p>
                <w:p w14:paraId="2A7E85F4"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належного врахування інтересів споживачів у процесі тарифоутворення на комунальні послуги, включаючи узгодження з організаціями споживачів структури й обґрунтованого розміру відповідних видів витрат, що включаються в тарифи на послуги, що поставляються;</w:t>
                  </w:r>
                </w:p>
                <w:p w14:paraId="52E5A5AD" w14:textId="77777777" w:rsidR="00DA469B" w:rsidRPr="00DA469B" w:rsidRDefault="00DA469B" w:rsidP="00DA46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469B">
                    <w:rPr>
                      <w:rFonts w:ascii="Times New Roman" w:eastAsia="Times New Roman" w:hAnsi="Times New Roman" w:cs="Times New Roman"/>
                      <w:sz w:val="24"/>
                      <w:szCs w:val="24"/>
                    </w:rPr>
                    <w:t>встановлення офіційного нормативу граничної частки витрат на комунальні послуги в сумарних витратах домогосподарств, що враховує середню схильність (готовність) населення до оплати цих послуг і необхідність забезпечення оптимальної збираємості платежів за них.</w:t>
                  </w:r>
                </w:p>
              </w:tc>
            </w:tr>
          </w:tbl>
          <w:p w14:paraId="75593143" w14:textId="77777777" w:rsidR="00DA469B" w:rsidRPr="00DA469B" w:rsidRDefault="00DA469B" w:rsidP="00DA469B">
            <w:pPr>
              <w:spacing w:after="0" w:line="240" w:lineRule="auto"/>
              <w:rPr>
                <w:rFonts w:ascii="Times New Roman" w:eastAsia="Times New Roman" w:hAnsi="Times New Roman" w:cs="Times New Roman"/>
                <w:sz w:val="24"/>
                <w:szCs w:val="24"/>
              </w:rPr>
            </w:pPr>
          </w:p>
        </w:tc>
      </w:tr>
    </w:tbl>
    <w:p w14:paraId="3F545E0B" w14:textId="77777777" w:rsidR="00DA469B" w:rsidRPr="00DA469B" w:rsidRDefault="00DA469B" w:rsidP="00DA469B"/>
    <w:sectPr w:rsidR="00DA469B" w:rsidRPr="00DA46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0E98" w14:textId="77777777" w:rsidR="005D68B1" w:rsidRDefault="005D68B1">
      <w:pPr>
        <w:spacing w:after="0" w:line="240" w:lineRule="auto"/>
      </w:pPr>
      <w:r>
        <w:separator/>
      </w:r>
    </w:p>
  </w:endnote>
  <w:endnote w:type="continuationSeparator" w:id="0">
    <w:p w14:paraId="08D786F4" w14:textId="77777777" w:rsidR="005D68B1" w:rsidRDefault="005D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2504" w14:textId="77777777" w:rsidR="005D68B1" w:rsidRDefault="005D68B1">
      <w:pPr>
        <w:spacing w:after="0" w:line="240" w:lineRule="auto"/>
      </w:pPr>
      <w:r>
        <w:separator/>
      </w:r>
    </w:p>
  </w:footnote>
  <w:footnote w:type="continuationSeparator" w:id="0">
    <w:p w14:paraId="6037B107" w14:textId="77777777" w:rsidR="005D68B1" w:rsidRDefault="005D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68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8B1"/>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87643</TotalTime>
  <Pages>3</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3497</cp:revision>
  <dcterms:created xsi:type="dcterms:W3CDTF">2024-06-20T08:51:00Z</dcterms:created>
  <dcterms:modified xsi:type="dcterms:W3CDTF">2024-09-23T12:49:00Z</dcterms:modified>
  <cp:category/>
</cp:coreProperties>
</file>