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F2798" w:rsidRDefault="00BF2798" w:rsidP="00BF2798">
      <w:r w:rsidRPr="009E0883">
        <w:rPr>
          <w:rFonts w:ascii="Times New Roman" w:eastAsia="Times New Roman" w:hAnsi="Times New Roman" w:cs="Times New Roman"/>
          <w:b/>
          <w:kern w:val="24"/>
          <w:sz w:val="24"/>
          <w:szCs w:val="24"/>
          <w:lang w:eastAsia="ru-RU"/>
        </w:rPr>
        <w:t>Канєва Тетяна Володимирівна</w:t>
      </w:r>
      <w:r w:rsidRPr="009E0883">
        <w:rPr>
          <w:rFonts w:ascii="Times New Roman" w:eastAsia="Times New Roman" w:hAnsi="Times New Roman" w:cs="Times New Roman"/>
          <w:kern w:val="24"/>
          <w:sz w:val="24"/>
          <w:szCs w:val="24"/>
          <w:lang w:eastAsia="ru-RU"/>
        </w:rPr>
        <w:t>, декан факультету фінансів та обліку Київського національного торговельно-економічного університету. Назва дисертації: «Формування та виконання бюджету у системі фінансово-економічних відносин». Шифр та назва спеціальності – 08.00.08 – гроші, фінанси і кредит. Спецрада Д 26.055.03 Київського національного торговельно-економічного університету</w:t>
      </w:r>
    </w:p>
    <w:sectPr w:rsidR="00CD7D1F" w:rsidRPr="00BF279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BF2798" w:rsidRPr="00BF279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BCD54-5F77-4D2F-9E42-2FE11707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2021-08-18T15:50:00Z</dcterms:created>
  <dcterms:modified xsi:type="dcterms:W3CDTF">2021-08-18T15:50:00Z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