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9F" w:rsidRPr="00646E9F" w:rsidRDefault="00646E9F" w:rsidP="00646E9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646E9F">
        <w:rPr>
          <w:rFonts w:ascii="Arial" w:hAnsi="Arial" w:cs="Arial"/>
          <w:b/>
          <w:bCs/>
          <w:color w:val="000000"/>
          <w:kern w:val="0"/>
          <w:sz w:val="28"/>
          <w:szCs w:val="28"/>
          <w:lang w:eastAsia="ru-RU"/>
        </w:rPr>
        <w:t xml:space="preserve">Михайлів Світлана Вікторівна, </w:t>
      </w:r>
      <w:r w:rsidRPr="00646E9F">
        <w:rPr>
          <w:rFonts w:ascii="Arial" w:hAnsi="Arial" w:cs="Arial"/>
          <w:color w:val="000000"/>
          <w:kern w:val="0"/>
          <w:sz w:val="28"/>
          <w:szCs w:val="28"/>
          <w:lang w:eastAsia="ru-RU"/>
        </w:rPr>
        <w:t xml:space="preserve">працівник громадської організації «Український інститут психотерапії залежності», тема дисертації: «Динаміка особистісного росту у хімічно залежних осіб в умовах роботи центрів соціально-психологічної реабілітації», (053 Психологія). Спеціалізована вчена рада ДФ 27.053.007 в ДВНЗ «Переяслав-Хмельницький державний педагогічний університет імені Григорія Сковороди» </w:t>
      </w:r>
    </w:p>
    <w:p w:rsidR="00C26D80" w:rsidRPr="00646E9F" w:rsidRDefault="00C26D80" w:rsidP="00646E9F"/>
    <w:sectPr w:rsidR="00C26D80" w:rsidRPr="00646E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646E9F" w:rsidRPr="00646E9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ECE5D-FF6C-4111-8252-D9FC748F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2441</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2021-10-15T14:11:00Z</dcterms:created>
  <dcterms:modified xsi:type="dcterms:W3CDTF">2021-10-21T10:27:00Z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