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Яворський Ростислав Святославович</w:t>
      </w:r>
      <w:r>
        <w:rPr>
          <w:rFonts w:ascii="CIDFont+F3" w:hAnsi="CIDFont+F3" w:cs="CIDFont+F3"/>
          <w:kern w:val="0"/>
          <w:sz w:val="28"/>
          <w:szCs w:val="28"/>
          <w:lang w:eastAsia="ru-RU"/>
        </w:rPr>
        <w:t>, молодший науковий</w:t>
      </w:r>
    </w:p>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співробітник ДВНЗ «Прикарпатський національний університет імені</w:t>
      </w:r>
    </w:p>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Василя Стефаника», тема дисертації: «Структурні, морфологічні та</w:t>
      </w:r>
    </w:p>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оптичні властивості тонкоплівкових гетероструктур на основі сполук IIVI</w:t>
      </w:r>
    </w:p>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 (104 Фізика та астрономія). Спеціалізована вчена рада ДФ</w:t>
      </w:r>
    </w:p>
    <w:p w:rsidR="00F17EF4" w:rsidRDefault="00F17EF4" w:rsidP="00F17EF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20.051.007 у ДВНЗ «Прикарпатський національний університет імені</w:t>
      </w:r>
    </w:p>
    <w:p w:rsidR="00D66F00" w:rsidRPr="00F17EF4" w:rsidRDefault="00F17EF4" w:rsidP="00F17EF4">
      <w:r>
        <w:rPr>
          <w:rFonts w:ascii="CIDFont+F3" w:hAnsi="CIDFont+F3" w:cs="CIDFont+F3"/>
          <w:kern w:val="0"/>
          <w:sz w:val="28"/>
          <w:szCs w:val="28"/>
          <w:lang w:eastAsia="ru-RU"/>
        </w:rPr>
        <w:t>Василя Стефаника»</w:t>
      </w:r>
    </w:p>
    <w:sectPr w:rsidR="00D66F00" w:rsidRPr="00F17EF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F17EF4" w:rsidRPr="00F17EF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F5A7-2ECD-47FC-96A0-82C66884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2021-12-23T09:52:00Z</dcterms:created>
  <dcterms:modified xsi:type="dcterms:W3CDTF">2021-12-25T20:30:00Z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