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C1BC2" w14:textId="77777777" w:rsidR="008A2664" w:rsidRDefault="008A2664" w:rsidP="008A2664">
      <w:pPr>
        <w:pStyle w:val="afffffffffffffffffffffffffff5"/>
        <w:rPr>
          <w:rFonts w:ascii="Verdana" w:hAnsi="Verdana"/>
          <w:color w:val="000000"/>
          <w:sz w:val="21"/>
          <w:szCs w:val="21"/>
        </w:rPr>
      </w:pPr>
      <w:r>
        <w:rPr>
          <w:rFonts w:ascii="Helvetica Neue" w:hAnsi="Helvetica Neue"/>
          <w:b/>
          <w:bCs w:val="0"/>
          <w:color w:val="222222"/>
          <w:sz w:val="21"/>
          <w:szCs w:val="21"/>
        </w:rPr>
        <w:t>Куркин, Николай Николаевич.</w:t>
      </w:r>
    </w:p>
    <w:p w14:paraId="5921B7CB" w14:textId="77777777" w:rsidR="008A2664" w:rsidRDefault="008A2664" w:rsidP="008A2664">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Оптико-магнитная спектроскопия </w:t>
      </w:r>
      <w:proofErr w:type="gramStart"/>
      <w:r>
        <w:rPr>
          <w:rFonts w:ascii="Helvetica Neue" w:hAnsi="Helvetica Neue" w:cs="Arial"/>
          <w:caps/>
          <w:color w:val="222222"/>
          <w:sz w:val="21"/>
          <w:szCs w:val="21"/>
        </w:rPr>
        <w:t>рубина :</w:t>
      </w:r>
      <w:proofErr w:type="gramEnd"/>
      <w:r>
        <w:rPr>
          <w:rFonts w:ascii="Helvetica Neue" w:hAnsi="Helvetica Neue" w:cs="Arial"/>
          <w:caps/>
          <w:color w:val="222222"/>
          <w:sz w:val="21"/>
          <w:szCs w:val="21"/>
        </w:rPr>
        <w:t xml:space="preserve"> диссертация ... кандидата физико-математических наук : 01.04.07. - Казань, 1983. - 157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D94CA2C" w14:textId="77777777" w:rsidR="008A2664" w:rsidRDefault="008A2664" w:rsidP="008A266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Куркин, Николай Николаевич</w:t>
      </w:r>
    </w:p>
    <w:p w14:paraId="501CFB9C"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2ED72CE"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СПЕКТРЫ ЛЮМИНЕСЦЕНЦИИ И ПОГЛОЩЕНИЯ РУБИНА. ВОЗДЕЙСТВИЕ МАГНИТНОГО ПОЛЯ И МАГНИТНОГО РЕЗОНАНСА (ОБЗОР</w:t>
      </w:r>
      <w:proofErr w:type="gramStart"/>
      <w:r>
        <w:rPr>
          <w:rFonts w:ascii="Arial" w:hAnsi="Arial" w:cs="Arial"/>
          <w:color w:val="333333"/>
          <w:sz w:val="21"/>
          <w:szCs w:val="21"/>
        </w:rPr>
        <w:t>) .II</w:t>
      </w:r>
      <w:proofErr w:type="gramEnd"/>
    </w:p>
    <w:p w14:paraId="6A5A0839"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Кристаллическая структура </w:t>
      </w:r>
      <w:proofErr w:type="spellStart"/>
      <w:proofErr w:type="gramStart"/>
      <w:r>
        <w:rPr>
          <w:rFonts w:ascii="Arial" w:hAnsi="Arial" w:cs="Arial"/>
          <w:color w:val="333333"/>
          <w:sz w:val="21"/>
          <w:szCs w:val="21"/>
        </w:rPr>
        <w:t>рубина.II</w:t>
      </w:r>
      <w:proofErr w:type="spellEnd"/>
      <w:proofErr w:type="gramEnd"/>
    </w:p>
    <w:p w14:paraId="1AFA662D"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Спектры поглощения и люминесценции</w:t>
      </w:r>
    </w:p>
    <w:p w14:paraId="132E934F"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Эффект Зеемана в рубине</w:t>
      </w:r>
    </w:p>
    <w:p w14:paraId="7CD5F1B2"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Электронный парамагнитный резонанс</w:t>
      </w:r>
    </w:p>
    <w:p w14:paraId="36A63C1D"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Воздействие магнитного поля на люминесценцию и поглощение рубина</w:t>
      </w:r>
    </w:p>
    <w:p w14:paraId="225D0784"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Двойной оптико-магнитный резонанс</w:t>
      </w:r>
    </w:p>
    <w:p w14:paraId="65F62AC4"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ОПИСАНИЕ ЭКСПЕРИМЕНТАЛЬНОЙ УСТАНОВКИ ДЛЯ ОПТИКО-МАГНИТНЫХ ИССЛЕДОВАНИЙ.</w:t>
      </w:r>
    </w:p>
    <w:p w14:paraId="2FD39CE9"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Оптическая часть.</w:t>
      </w:r>
    </w:p>
    <w:p w14:paraId="64376C36"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Сверхвысокочастотная аппаратура.</w:t>
      </w:r>
    </w:p>
    <w:p w14:paraId="3D3F3E17"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Электромагнит.</w:t>
      </w:r>
    </w:p>
    <w:p w14:paraId="3E3DD677"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Оптический криостат и система откачки паров жидкого гелия</w:t>
      </w:r>
    </w:p>
    <w:p w14:paraId="65597276"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Модуляционно-регистрирующая аппаратура.</w:t>
      </w:r>
    </w:p>
    <w:p w14:paraId="338913E7"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Основные технические характеристики установки</w:t>
      </w:r>
    </w:p>
    <w:p w14:paraId="2CCD4223"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ОПТИЧЕСКИЕ СПЕКТРЫ РУБИНА. САМООБРАЩЕНИЕ И СДВИГ</w:t>
      </w:r>
    </w:p>
    <w:p w14:paraId="596EFB8D"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ЛИНИЙ ЛЮМИНЕСЦЕНЦИИ.</w:t>
      </w:r>
    </w:p>
    <w:p w14:paraId="11B52AF7"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Тонкая структура спектра люминесценции R, линии.</w:t>
      </w:r>
    </w:p>
    <w:p w14:paraId="6E3DF7EE"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Спектры пропускания и люминесценции концентрированного рубина.</w:t>
      </w:r>
    </w:p>
    <w:p w14:paraId="5A5D5A1F"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Спектры пропускания в области R - линий.</w:t>
      </w:r>
    </w:p>
    <w:p w14:paraId="4A57506C"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Спектры люминесценции.</w:t>
      </w:r>
    </w:p>
    <w:p w14:paraId="12B50E10"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Самообращение линий люминесценции.</w:t>
      </w:r>
    </w:p>
    <w:p w14:paraId="46E93296"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Сдвиг линий люминесценции</w:t>
      </w:r>
    </w:p>
    <w:p w14:paraId="7B4675DC"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Расчет спектров люминесценции и поглощения.</w:t>
      </w:r>
    </w:p>
    <w:p w14:paraId="5924832A"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Вывод общей формулы</w:t>
      </w:r>
    </w:p>
    <w:p w14:paraId="68C8C10A"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Распределение населенности возбужденного уровня по длине образца</w:t>
      </w:r>
    </w:p>
    <w:p w14:paraId="78A29437"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Определение значений коэффициента поглощения</w:t>
      </w:r>
    </w:p>
    <w:p w14:paraId="101CFE4A"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Расчет формы R - линий люминесценции при температуре 77 К</w:t>
      </w:r>
    </w:p>
    <w:p w14:paraId="43541D8C"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3.3.5. </w:t>
      </w:r>
      <w:proofErr w:type="spellStart"/>
      <w:r>
        <w:rPr>
          <w:rFonts w:ascii="Arial" w:hAnsi="Arial" w:cs="Arial"/>
          <w:color w:val="333333"/>
          <w:sz w:val="21"/>
          <w:szCs w:val="21"/>
        </w:rPr>
        <w:t>Термализация</w:t>
      </w:r>
      <w:proofErr w:type="spellEnd"/>
      <w:r>
        <w:rPr>
          <w:rFonts w:ascii="Arial" w:hAnsi="Arial" w:cs="Arial"/>
          <w:color w:val="333333"/>
          <w:sz w:val="21"/>
          <w:szCs w:val="21"/>
        </w:rPr>
        <w:t xml:space="preserve"> возбужденного уровня Ё при 1,7 К</w:t>
      </w:r>
    </w:p>
    <w:p w14:paraId="0CFE5456" w14:textId="77777777" w:rsidR="008A2664" w:rsidRDefault="008A2664" w:rsidP="008A2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3.3.6. Оценка величины сдвига для </w:t>
      </w:r>
      <w:proofErr w:type="spellStart"/>
      <w:r>
        <w:rPr>
          <w:rFonts w:ascii="Arial" w:hAnsi="Arial" w:cs="Arial"/>
          <w:color w:val="333333"/>
          <w:sz w:val="21"/>
          <w:szCs w:val="21"/>
        </w:rPr>
        <w:t>малоконцентрированного</w:t>
      </w:r>
      <w:proofErr w:type="spellEnd"/>
      <w:r>
        <w:rPr>
          <w:rFonts w:ascii="Arial" w:hAnsi="Arial" w:cs="Arial"/>
          <w:color w:val="333333"/>
          <w:sz w:val="21"/>
          <w:szCs w:val="21"/>
        </w:rPr>
        <w:t xml:space="preserve"> рубина.</w:t>
      </w:r>
    </w:p>
    <w:p w14:paraId="071EBB05" w14:textId="32D8A506" w:rsidR="00E67B85" w:rsidRPr="008A2664" w:rsidRDefault="00E67B85" w:rsidP="008A2664"/>
    <w:sectPr w:rsidR="00E67B85" w:rsidRPr="008A266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303B3" w14:textId="77777777" w:rsidR="00A2667B" w:rsidRDefault="00A2667B">
      <w:pPr>
        <w:spacing w:after="0" w:line="240" w:lineRule="auto"/>
      </w:pPr>
      <w:r>
        <w:separator/>
      </w:r>
    </w:p>
  </w:endnote>
  <w:endnote w:type="continuationSeparator" w:id="0">
    <w:p w14:paraId="0596D172" w14:textId="77777777" w:rsidR="00A2667B" w:rsidRDefault="00A2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29B94" w14:textId="77777777" w:rsidR="00A2667B" w:rsidRDefault="00A2667B"/>
    <w:p w14:paraId="13673FAE" w14:textId="77777777" w:rsidR="00A2667B" w:rsidRDefault="00A2667B"/>
    <w:p w14:paraId="7B02B18D" w14:textId="77777777" w:rsidR="00A2667B" w:rsidRDefault="00A2667B"/>
    <w:p w14:paraId="31627488" w14:textId="77777777" w:rsidR="00A2667B" w:rsidRDefault="00A2667B"/>
    <w:p w14:paraId="291D62D8" w14:textId="77777777" w:rsidR="00A2667B" w:rsidRDefault="00A2667B"/>
    <w:p w14:paraId="6765BF59" w14:textId="77777777" w:rsidR="00A2667B" w:rsidRDefault="00A2667B"/>
    <w:p w14:paraId="456AB317" w14:textId="77777777" w:rsidR="00A2667B" w:rsidRDefault="00A266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20D8FA" wp14:editId="063093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56E4B" w14:textId="77777777" w:rsidR="00A2667B" w:rsidRDefault="00A266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20D8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A456E4B" w14:textId="77777777" w:rsidR="00A2667B" w:rsidRDefault="00A266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655991" w14:textId="77777777" w:rsidR="00A2667B" w:rsidRDefault="00A2667B"/>
    <w:p w14:paraId="3029CBD8" w14:textId="77777777" w:rsidR="00A2667B" w:rsidRDefault="00A2667B"/>
    <w:p w14:paraId="4E7DF1D6" w14:textId="77777777" w:rsidR="00A2667B" w:rsidRDefault="00A266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A16860" wp14:editId="1B2DD7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1F9F4" w14:textId="77777777" w:rsidR="00A2667B" w:rsidRDefault="00A2667B"/>
                          <w:p w14:paraId="588EE4E0" w14:textId="77777777" w:rsidR="00A2667B" w:rsidRDefault="00A266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A168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71F9F4" w14:textId="77777777" w:rsidR="00A2667B" w:rsidRDefault="00A2667B"/>
                    <w:p w14:paraId="588EE4E0" w14:textId="77777777" w:rsidR="00A2667B" w:rsidRDefault="00A266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B38CD0" w14:textId="77777777" w:rsidR="00A2667B" w:rsidRDefault="00A2667B"/>
    <w:p w14:paraId="132DDAE3" w14:textId="77777777" w:rsidR="00A2667B" w:rsidRDefault="00A2667B">
      <w:pPr>
        <w:rPr>
          <w:sz w:val="2"/>
          <w:szCs w:val="2"/>
        </w:rPr>
      </w:pPr>
    </w:p>
    <w:p w14:paraId="6132E957" w14:textId="77777777" w:rsidR="00A2667B" w:rsidRDefault="00A2667B"/>
    <w:p w14:paraId="792E9541" w14:textId="77777777" w:rsidR="00A2667B" w:rsidRDefault="00A2667B">
      <w:pPr>
        <w:spacing w:after="0" w:line="240" w:lineRule="auto"/>
      </w:pPr>
    </w:p>
  </w:footnote>
  <w:footnote w:type="continuationSeparator" w:id="0">
    <w:p w14:paraId="48F22D29" w14:textId="77777777" w:rsidR="00A2667B" w:rsidRDefault="00A2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7B"/>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116290</TotalTime>
  <Pages>2</Pages>
  <Words>249</Words>
  <Characters>1423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2391</cp:revision>
  <cp:lastPrinted>2009-02-06T05:36:00Z</cp:lastPrinted>
  <dcterms:created xsi:type="dcterms:W3CDTF">2024-01-07T13:43:00Z</dcterms:created>
  <dcterms:modified xsi:type="dcterms:W3CDTF">2025-06-17T20:07:00Z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