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CC5" w:rsidRDefault="004F6CC5" w:rsidP="004F6CC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Кисельов Костянтин Сергійович</w:t>
      </w:r>
      <w:r>
        <w:rPr>
          <w:rFonts w:ascii="CIDFont+F4" w:hAnsi="CIDFont+F4" w:cs="CIDFont+F4"/>
          <w:kern w:val="0"/>
          <w:sz w:val="28"/>
          <w:szCs w:val="28"/>
          <w:lang w:eastAsia="ru-RU"/>
        </w:rPr>
        <w:t>, асистент кафедри загальної</w:t>
      </w:r>
    </w:p>
    <w:p w:rsidR="004F6CC5" w:rsidRDefault="004F6CC5" w:rsidP="004F6CC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психології ДВНЗ «Донбаський державний педагогічний університет»</w:t>
      </w:r>
    </w:p>
    <w:p w:rsidR="004F6CC5" w:rsidRDefault="004F6CC5" w:rsidP="004F6CC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МОН України, тема дисертації: «Регулятивні чинники динаміки</w:t>
      </w:r>
    </w:p>
    <w:p w:rsidR="004F6CC5" w:rsidRDefault="004F6CC5" w:rsidP="004F6CC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креативності особистості майбутнього вчителя початкових класів у</w:t>
      </w:r>
    </w:p>
    <w:p w:rsidR="004F6CC5" w:rsidRDefault="004F6CC5" w:rsidP="004F6CC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процесі навчальної діяльності», (053 Психологія). Спеціалізована вчена</w:t>
      </w:r>
    </w:p>
    <w:p w:rsidR="004F6CC5" w:rsidRDefault="004F6CC5" w:rsidP="004F6CC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рада ДФ 64.053.031 в Харківському національному педагогічному</w:t>
      </w:r>
    </w:p>
    <w:p w:rsidR="00805889" w:rsidRPr="004F6CC5" w:rsidRDefault="004F6CC5" w:rsidP="004F6CC5">
      <w:r>
        <w:rPr>
          <w:rFonts w:ascii="CIDFont+F4" w:hAnsi="CIDFont+F4" w:cs="CIDFont+F4"/>
          <w:kern w:val="0"/>
          <w:sz w:val="28"/>
          <w:szCs w:val="28"/>
          <w:lang w:eastAsia="ru-RU"/>
        </w:rPr>
        <w:t>університеті імені Г.С. Сковороди</w:t>
      </w:r>
    </w:p>
    <w:sectPr w:rsidR="00805889" w:rsidRPr="004F6CC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4F6CC5" w:rsidRPr="004F6CC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AA9B1-3686-4961-9573-A033FD273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1</Pages>
  <Words>61</Words>
  <Characters>353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2021-11-01T08:58:00Z</dcterms:created>
  <dcterms:modified xsi:type="dcterms:W3CDTF">2021-11-02T09:34:00Z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