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7D68" w14:textId="77777777" w:rsidR="00FB0D07" w:rsidRDefault="00FB0D07" w:rsidP="00FB0D07">
      <w:pPr>
        <w:pStyle w:val="afb"/>
        <w:shd w:val="clear" w:color="auto" w:fill="auto"/>
        <w:spacing w:after="169" w:line="270" w:lineRule="exact"/>
        <w:ind w:left="1920"/>
      </w:pPr>
      <w:r>
        <w:t>МИНИСТЕРСТВО ВЫСШЕГО И СРВДНЕГО СПЕЦИАЛЬНОГО ОБРАЗОВАНИЯ</w:t>
      </w:r>
    </w:p>
    <w:p w14:paraId="77CCCA15" w14:textId="77777777" w:rsidR="00FB0D07" w:rsidRDefault="00FB0D07" w:rsidP="00FB0D07">
      <w:pPr>
        <w:pStyle w:val="afb"/>
        <w:shd w:val="clear" w:color="auto" w:fill="auto"/>
        <w:spacing w:after="219" w:line="270" w:lineRule="exact"/>
        <w:ind w:left="160" w:firstLine="0"/>
      </w:pPr>
      <w:r>
        <w:t>ЛАТВИЙСКОЙ ССР</w:t>
      </w:r>
    </w:p>
    <w:p w14:paraId="06717687" w14:textId="77777777" w:rsidR="00FB0D07" w:rsidRDefault="00FB0D07" w:rsidP="00FB0D07">
      <w:pPr>
        <w:pStyle w:val="afb"/>
        <w:shd w:val="clear" w:color="auto" w:fill="auto"/>
        <w:spacing w:after="1132" w:line="490" w:lineRule="exact"/>
        <w:ind w:left="1920" w:right="400"/>
      </w:pPr>
      <w:r>
        <w:t>РИЖСКИЙ ОРДЕНА ТРУДОВОГО КРАСНОГО ЗНАМЕНИ ПОЛИТЕХНИЧЕСКИЙ ИНСТИТУТ ИМ. А.Я.ПЕЛЬШЕ</w:t>
      </w:r>
    </w:p>
    <w:p w14:paraId="49DCC5ED" w14:textId="77777777" w:rsidR="00FB0D07" w:rsidRDefault="00FB0D07" w:rsidP="00FB0D07">
      <w:pPr>
        <w:pStyle w:val="afb"/>
        <w:shd w:val="clear" w:color="auto" w:fill="auto"/>
        <w:spacing w:after="664" w:line="725" w:lineRule="exact"/>
        <w:ind w:left="1920" w:right="1340" w:firstLine="2900"/>
      </w:pPr>
      <w:r>
        <w:t>На правах рукописи Наркевича Изабелла Аугустовна</w:t>
      </w:r>
    </w:p>
    <w:p w14:paraId="35A1E75F" w14:textId="77777777" w:rsidR="00FB0D07" w:rsidRDefault="00FB0D07" w:rsidP="00FB0D07">
      <w:pPr>
        <w:pStyle w:val="afb"/>
        <w:shd w:val="clear" w:color="auto" w:fill="auto"/>
        <w:spacing w:after="517" w:line="270" w:lineRule="exact"/>
        <w:ind w:left="5860" w:firstLine="0"/>
      </w:pPr>
      <w:r>
        <w:t>УДК 666.76' 621*18</w:t>
      </w:r>
    </w:p>
    <w:p w14:paraId="1F35EBEC" w14:textId="77777777" w:rsidR="00FB0D07" w:rsidRDefault="00FB0D07" w:rsidP="00FB0D07">
      <w:pPr>
        <w:pStyle w:val="afb"/>
        <w:shd w:val="clear" w:color="auto" w:fill="auto"/>
        <w:spacing w:after="512" w:line="600" w:lineRule="exact"/>
        <w:ind w:left="160" w:firstLine="0"/>
      </w:pPr>
      <w:r>
        <w:t>ОГНЕУПОРНЫЕ МАТЕРИАЛЫ НА ОСНОВЕ ОКСИДА АЛЮМИНИЯ, ШАМОТА И ФОСФАТНЫХ СВЯЗУЮЩИХ</w:t>
      </w:r>
    </w:p>
    <w:p w14:paraId="72A8905A" w14:textId="77777777" w:rsidR="00FB0D07" w:rsidRDefault="00FB0D07" w:rsidP="00FB0D07">
      <w:pPr>
        <w:pStyle w:val="afb"/>
        <w:shd w:val="clear" w:color="auto" w:fill="auto"/>
        <w:spacing w:after="1072" w:line="485" w:lineRule="exact"/>
        <w:ind w:left="160" w:firstLine="0"/>
      </w:pPr>
      <w:r>
        <w:t>05.17.11 - Технология силикатных и тугоплавких неметаллических материалов</w:t>
      </w:r>
    </w:p>
    <w:p w14:paraId="47B6C1CF" w14:textId="77777777" w:rsidR="00FB0D07" w:rsidRDefault="00FB0D07" w:rsidP="00FB0D07">
      <w:pPr>
        <w:pStyle w:val="afb"/>
        <w:shd w:val="clear" w:color="auto" w:fill="auto"/>
        <w:spacing w:after="184" w:line="270" w:lineRule="exact"/>
        <w:ind w:left="160" w:firstLine="0"/>
      </w:pPr>
      <w:r>
        <w:t>Диссертация на соискание ученой степени кандидата</w:t>
      </w:r>
    </w:p>
    <w:p w14:paraId="4935F871" w14:textId="77777777" w:rsidR="00FB0D07" w:rsidRDefault="00FB0D07" w:rsidP="00FB0D07">
      <w:pPr>
        <w:pStyle w:val="afb"/>
        <w:shd w:val="clear" w:color="auto" w:fill="auto"/>
        <w:spacing w:after="1092" w:line="270" w:lineRule="exact"/>
        <w:ind w:left="160" w:firstLine="0"/>
      </w:pPr>
      <w:r>
        <w:t>технических наук</w:t>
      </w:r>
    </w:p>
    <w:p w14:paraId="3688E383" w14:textId="77777777" w:rsidR="00FB0D07" w:rsidRDefault="00FB0D07" w:rsidP="00FB0D07">
      <w:pPr>
        <w:pStyle w:val="afb"/>
        <w:shd w:val="clear" w:color="auto" w:fill="auto"/>
        <w:spacing w:after="824" w:line="475" w:lineRule="exact"/>
        <w:ind w:left="3540" w:right="400" w:firstLine="1300"/>
      </w:pPr>
      <w:r>
        <w:t xml:space="preserve">Научный </w:t>
      </w:r>
      <w:proofErr w:type="gramStart"/>
      <w:r>
        <w:t>руководитель :</w:t>
      </w:r>
      <w:proofErr w:type="gramEnd"/>
      <w:r>
        <w:t xml:space="preserve"> Заслуженный деятель науки Латв.ССР, д.т.н., профессор Эйдук Ю.Я.</w:t>
      </w:r>
    </w:p>
    <w:p w14:paraId="3C8CF7F9" w14:textId="77777777" w:rsidR="00FB0D07" w:rsidRDefault="00FB0D07" w:rsidP="00FB0D07">
      <w:pPr>
        <w:pStyle w:val="afb"/>
        <w:shd w:val="clear" w:color="auto" w:fill="auto"/>
        <w:spacing w:line="270" w:lineRule="exact"/>
        <w:ind w:left="160" w:firstLine="0"/>
        <w:sectPr w:rsidR="00FB0D07" w:rsidSect="00FB0D07">
          <w:footnotePr>
            <w:numStart w:val="9"/>
          </w:footnotePr>
          <w:pgSz w:w="16837" w:h="23810"/>
          <w:pgMar w:top="3740" w:right="3807" w:bottom="5204" w:left="4148" w:header="0" w:footer="3" w:gutter="0"/>
          <w:cols w:space="720"/>
          <w:noEndnote/>
          <w:docGrid w:linePitch="360"/>
        </w:sectPr>
      </w:pPr>
      <w:r>
        <w:t>Рига - 1984</w:t>
      </w:r>
    </w:p>
    <w:p w14:paraId="0711EE11" w14:textId="77777777" w:rsidR="00FB0D07" w:rsidRDefault="00FB0D07" w:rsidP="00FB0D07">
      <w:pPr>
        <w:pStyle w:val="1c"/>
        <w:shd w:val="clear" w:color="auto" w:fill="auto"/>
        <w:tabs>
          <w:tab w:val="right" w:pos="9430"/>
        </w:tabs>
        <w:spacing w:after="0" w:line="270" w:lineRule="exact"/>
        <w:ind w:left="3360" w:firstLine="0"/>
      </w:pPr>
      <w:r>
        <w:lastRenderedPageBreak/>
        <w:fldChar w:fldCharType="begin"/>
      </w:r>
      <w:r>
        <w:instrText xml:space="preserve"> TOC \o "1-3" \h \z </w:instrText>
      </w:r>
      <w:r>
        <w:fldChar w:fldCharType="separate"/>
      </w:r>
      <w:r>
        <w:t>СОДЕРЖАНИЕ</w:t>
      </w:r>
      <w:r>
        <w:tab/>
      </w:r>
      <w:r>
        <w:rPr>
          <w:vertAlign w:val="subscript"/>
        </w:rPr>
        <w:t>Стр#</w:t>
      </w:r>
    </w:p>
    <w:p w14:paraId="55E6B726" w14:textId="77777777" w:rsidR="00FB0D07" w:rsidRDefault="00FB0D07" w:rsidP="00FB0D07">
      <w:pPr>
        <w:pStyle w:val="1c"/>
        <w:widowControl/>
        <w:numPr>
          <w:ilvl w:val="0"/>
          <w:numId w:val="38"/>
        </w:numPr>
        <w:shd w:val="clear" w:color="auto" w:fill="auto"/>
        <w:tabs>
          <w:tab w:val="left" w:pos="438"/>
          <w:tab w:val="left" w:leader="dot" w:pos="1873"/>
          <w:tab w:val="left" w:leader="dot" w:pos="3490"/>
          <w:tab w:val="left" w:leader="dot" w:pos="4959"/>
          <w:tab w:val="left" w:leader="dot" w:pos="5103"/>
          <w:tab w:val="left" w:leader="dot" w:pos="7604"/>
          <w:tab w:val="left" w:leader="dot" w:pos="7758"/>
          <w:tab w:val="right" w:pos="9433"/>
        </w:tabs>
        <w:spacing w:before="0" w:after="0" w:line="475" w:lineRule="exact"/>
        <w:ind w:left="20" w:firstLine="0"/>
      </w:pPr>
      <w:r>
        <w:t xml:space="preserve">ВВЕДЕНИЕ </w:t>
      </w:r>
      <w:r>
        <w:tab/>
      </w:r>
      <w:r>
        <w:tab/>
        <w:t>.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0F0D16C2" w14:textId="77777777" w:rsidR="00FB0D07" w:rsidRDefault="00FB0D07" w:rsidP="00FB0D07">
      <w:pPr>
        <w:pStyle w:val="1c"/>
        <w:widowControl/>
        <w:numPr>
          <w:ilvl w:val="0"/>
          <w:numId w:val="38"/>
        </w:numPr>
        <w:shd w:val="clear" w:color="auto" w:fill="auto"/>
        <w:tabs>
          <w:tab w:val="left" w:pos="452"/>
          <w:tab w:val="left" w:leader="dot" w:pos="3058"/>
          <w:tab w:val="left" w:leader="dot" w:pos="4681"/>
          <w:tab w:val="left" w:leader="dot" w:pos="4825"/>
          <w:tab w:val="left" w:leader="dot" w:pos="6735"/>
          <w:tab w:val="left" w:leader="dot" w:pos="6884"/>
          <w:tab w:val="right" w:pos="9433"/>
        </w:tabs>
        <w:spacing w:before="0" w:after="0" w:line="475" w:lineRule="exact"/>
        <w:ind w:left="20" w:firstLine="0"/>
      </w:pPr>
      <w:r>
        <w:t xml:space="preserve">ОБЗОР ЛИТЕРАТУРЫ 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042EBDD0" w14:textId="77777777" w:rsidR="00FB0D07" w:rsidRDefault="00FB0D07" w:rsidP="00FB0D07">
      <w:pPr>
        <w:pStyle w:val="1c"/>
        <w:shd w:val="clear" w:color="auto" w:fill="auto"/>
        <w:tabs>
          <w:tab w:val="left" w:leader="dot" w:pos="5320"/>
          <w:tab w:val="left" w:leader="dot" w:pos="5464"/>
          <w:tab w:val="left" w:leader="dot" w:pos="7672"/>
        </w:tabs>
        <w:spacing w:after="0" w:line="475" w:lineRule="exact"/>
        <w:ind w:left="1140" w:right="340"/>
      </w:pPr>
      <w:r>
        <w:t>2.</w:t>
      </w:r>
      <w:proofErr w:type="gramStart"/>
      <w:r>
        <w:t>1.Основные</w:t>
      </w:r>
      <w:proofErr w:type="gramEnd"/>
      <w:r>
        <w:t xml:space="preserve"> вида стекловаренных печей и применя</w:t>
      </w:r>
      <w:r>
        <w:softHyphen/>
        <w:t>емые для них огнеупоры</w:t>
      </w:r>
      <w:r>
        <w:tab/>
      </w:r>
      <w:r>
        <w:tab/>
      </w:r>
      <w:r>
        <w:tab/>
        <w:t>• •••• 8</w:t>
      </w:r>
    </w:p>
    <w:p w14:paraId="103483EC" w14:textId="77777777" w:rsidR="00FB0D07" w:rsidRDefault="00FB0D07" w:rsidP="00FB0D07">
      <w:pPr>
        <w:pStyle w:val="1c"/>
        <w:widowControl/>
        <w:numPr>
          <w:ilvl w:val="0"/>
          <w:numId w:val="39"/>
        </w:numPr>
        <w:shd w:val="clear" w:color="auto" w:fill="auto"/>
        <w:tabs>
          <w:tab w:val="left" w:pos="4375"/>
          <w:tab w:val="left" w:leader="dot" w:pos="7558"/>
        </w:tabs>
        <w:spacing w:before="0" w:after="0" w:line="475" w:lineRule="exact"/>
        <w:ind w:left="1140" w:firstLine="0"/>
      </w:pPr>
      <w:r>
        <w:t>Аяюмосиликатные</w:t>
      </w:r>
      <w:r>
        <w:tab/>
        <w:t>огнеупоры</w:t>
      </w:r>
      <w:proofErr w:type="gramStart"/>
      <w:r>
        <w:t xml:space="preserve"> ..</w:t>
      </w:r>
      <w:proofErr w:type="gramEnd"/>
      <w:r>
        <w:t>•••</w:t>
      </w:r>
      <w:r>
        <w:tab/>
        <w:t>...... II</w:t>
      </w:r>
    </w:p>
    <w:p w14:paraId="49B5A06B" w14:textId="77777777" w:rsidR="00FB0D07" w:rsidRDefault="00FB0D07" w:rsidP="00FB0D07">
      <w:pPr>
        <w:pStyle w:val="1c"/>
        <w:widowControl/>
        <w:numPr>
          <w:ilvl w:val="0"/>
          <w:numId w:val="39"/>
        </w:numPr>
        <w:shd w:val="clear" w:color="auto" w:fill="auto"/>
        <w:tabs>
          <w:tab w:val="left" w:pos="4231"/>
          <w:tab w:val="left" w:leader="dot" w:pos="7418"/>
          <w:tab w:val="left" w:leader="dot" w:pos="7567"/>
          <w:tab w:val="right" w:pos="9432"/>
        </w:tabs>
        <w:spacing w:before="0" w:after="0" w:line="475" w:lineRule="exact"/>
        <w:ind w:left="1140" w:firstLine="0"/>
      </w:pPr>
      <w:r>
        <w:t>Кремнеземистые</w:t>
      </w:r>
      <w:r>
        <w:tab/>
        <w:t xml:space="preserve">огнеупоры </w:t>
      </w:r>
      <w:r>
        <w:tab/>
      </w:r>
      <w:r>
        <w:tab/>
      </w:r>
      <w:r>
        <w:tab/>
        <w:t>15</w:t>
      </w:r>
    </w:p>
    <w:p w14:paraId="57D7FEBD" w14:textId="77777777" w:rsidR="00FB0D07" w:rsidRDefault="00FB0D07" w:rsidP="00FB0D07">
      <w:pPr>
        <w:pStyle w:val="1c"/>
        <w:widowControl/>
        <w:numPr>
          <w:ilvl w:val="0"/>
          <w:numId w:val="39"/>
        </w:numPr>
        <w:shd w:val="clear" w:color="auto" w:fill="auto"/>
        <w:tabs>
          <w:tab w:val="left" w:pos="5551"/>
        </w:tabs>
        <w:spacing w:before="0" w:after="0" w:line="475" w:lineRule="exact"/>
        <w:ind w:left="1140" w:firstLine="0"/>
      </w:pPr>
      <w:r>
        <w:t>Циркониевоглиноземистые</w:t>
      </w:r>
      <w:r>
        <w:tab/>
        <w:t>огнеупоры •••••••••• 15</w:t>
      </w:r>
    </w:p>
    <w:p w14:paraId="145478A5" w14:textId="77777777" w:rsidR="00FB0D07" w:rsidRDefault="00FB0D07" w:rsidP="00FB0D07">
      <w:pPr>
        <w:pStyle w:val="1c"/>
        <w:widowControl/>
        <w:numPr>
          <w:ilvl w:val="0"/>
          <w:numId w:val="39"/>
        </w:numPr>
        <w:shd w:val="clear" w:color="auto" w:fill="auto"/>
        <w:tabs>
          <w:tab w:val="left" w:pos="3641"/>
        </w:tabs>
        <w:spacing w:before="0" w:after="0" w:line="475" w:lineRule="exact"/>
        <w:ind w:left="1140" w:firstLine="0"/>
      </w:pPr>
      <w:r>
        <w:t>Корундовые</w:t>
      </w:r>
      <w:r>
        <w:tab/>
        <w:t>огнеупоры ••</w:t>
      </w:r>
      <w:proofErr w:type="gramStart"/>
      <w:r>
        <w:t>•;..</w:t>
      </w:r>
      <w:proofErr w:type="gramEnd"/>
      <w:r>
        <w:t>•..•.•••••••••.•. 16</w:t>
      </w:r>
    </w:p>
    <w:p w14:paraId="07A51F92" w14:textId="77777777" w:rsidR="00FB0D07" w:rsidRDefault="00FB0D07" w:rsidP="00FB0D07">
      <w:pPr>
        <w:pStyle w:val="1c"/>
        <w:widowControl/>
        <w:numPr>
          <w:ilvl w:val="0"/>
          <w:numId w:val="40"/>
        </w:numPr>
        <w:shd w:val="clear" w:color="auto" w:fill="auto"/>
        <w:tabs>
          <w:tab w:val="left" w:pos="3746"/>
          <w:tab w:val="left" w:leader="dot" w:pos="4590"/>
          <w:tab w:val="left" w:leader="dot" w:pos="4739"/>
          <w:tab w:val="right" w:pos="8812"/>
        </w:tabs>
        <w:spacing w:before="0" w:after="0" w:line="475" w:lineRule="exact"/>
        <w:ind w:left="1140" w:right="340" w:hanging="620"/>
      </w:pPr>
      <w:r>
        <w:t>Физико-химические</w:t>
      </w:r>
      <w:r>
        <w:tab/>
        <w:t>основы получения высокоглино</w:t>
      </w:r>
      <w:r>
        <w:softHyphen/>
        <w:t>земистых огнеупорных композиций на фосфатном связующем ••••••••</w:t>
      </w:r>
      <w:r>
        <w:tab/>
      </w:r>
      <w:r>
        <w:tab/>
      </w:r>
      <w:r>
        <w:tab/>
        <w:t>17</w:t>
      </w:r>
    </w:p>
    <w:p w14:paraId="64B8DE68" w14:textId="77777777" w:rsidR="00FB0D07" w:rsidRDefault="00FB0D07" w:rsidP="00FB0D07">
      <w:pPr>
        <w:pStyle w:val="1c"/>
        <w:widowControl/>
        <w:numPr>
          <w:ilvl w:val="0"/>
          <w:numId w:val="40"/>
        </w:numPr>
        <w:shd w:val="clear" w:color="auto" w:fill="auto"/>
        <w:tabs>
          <w:tab w:val="left" w:pos="4048"/>
        </w:tabs>
        <w:spacing w:before="0" w:after="0" w:line="475" w:lineRule="exact"/>
        <w:ind w:left="1140" w:hanging="620"/>
      </w:pPr>
      <w:r>
        <w:t>Высокоглиноземистые</w:t>
      </w:r>
      <w:r>
        <w:tab/>
        <w:t>огнеупорные композиции</w:t>
      </w:r>
    </w:p>
    <w:p w14:paraId="233928BB" w14:textId="77777777" w:rsidR="00FB0D07" w:rsidRDefault="00FB0D07" w:rsidP="00FB0D07">
      <w:pPr>
        <w:pStyle w:val="1c"/>
        <w:shd w:val="clear" w:color="auto" w:fill="auto"/>
        <w:tabs>
          <w:tab w:val="left" w:pos="6017"/>
          <w:tab w:val="left" w:leader="dot" w:pos="7270"/>
        </w:tabs>
        <w:spacing w:after="0" w:line="475" w:lineRule="exact"/>
        <w:ind w:left="1140" w:firstLine="0"/>
      </w:pPr>
      <w:r>
        <w:t>на фосфатном связующем</w:t>
      </w:r>
      <w:r>
        <w:tab/>
      </w:r>
      <w:r>
        <w:tab/>
        <w:t>........ 83</w:t>
      </w:r>
    </w:p>
    <w:p w14:paraId="62DC4574" w14:textId="77777777" w:rsidR="00FB0D07" w:rsidRDefault="00FB0D07" w:rsidP="00FB0D07">
      <w:pPr>
        <w:pStyle w:val="1c"/>
        <w:widowControl/>
        <w:numPr>
          <w:ilvl w:val="1"/>
          <w:numId w:val="40"/>
        </w:numPr>
        <w:shd w:val="clear" w:color="auto" w:fill="auto"/>
        <w:tabs>
          <w:tab w:val="left" w:pos="457"/>
          <w:tab w:val="left" w:leader="dot" w:pos="4076"/>
          <w:tab w:val="left" w:leader="dot" w:pos="7311"/>
        </w:tabs>
        <w:spacing w:before="0" w:after="0" w:line="475" w:lineRule="exact"/>
        <w:ind w:left="20" w:firstLine="0"/>
      </w:pPr>
      <w:r>
        <w:t xml:space="preserve">ЭКСПШШЕНТАЛЪНАЯ ЧАСТЬ </w:t>
      </w:r>
      <w:r>
        <w:tab/>
      </w:r>
      <w:r>
        <w:tab/>
        <w:t>41</w:t>
      </w:r>
    </w:p>
    <w:p w14:paraId="376163D5" w14:textId="77777777" w:rsidR="00FB0D07" w:rsidRDefault="00FB0D07" w:rsidP="00FB0D07">
      <w:pPr>
        <w:pStyle w:val="1c"/>
        <w:widowControl/>
        <w:numPr>
          <w:ilvl w:val="2"/>
          <w:numId w:val="40"/>
        </w:numPr>
        <w:shd w:val="clear" w:color="auto" w:fill="auto"/>
        <w:tabs>
          <w:tab w:val="left" w:pos="3304"/>
          <w:tab w:val="left" w:pos="7014"/>
        </w:tabs>
        <w:spacing w:before="0" w:after="0" w:line="475" w:lineRule="exact"/>
        <w:ind w:left="1140" w:hanging="620"/>
      </w:pPr>
      <w:r>
        <w:t>Характеристика</w:t>
      </w:r>
      <w:r>
        <w:tab/>
        <w:t>исходного сырья</w:t>
      </w:r>
      <w:r>
        <w:tab/>
        <w:t>.......... 41</w:t>
      </w:r>
    </w:p>
    <w:p w14:paraId="2E3FC36A" w14:textId="77777777" w:rsidR="00FB0D07" w:rsidRDefault="00FB0D07" w:rsidP="00FB0D07">
      <w:pPr>
        <w:pStyle w:val="1c"/>
        <w:widowControl/>
        <w:numPr>
          <w:ilvl w:val="2"/>
          <w:numId w:val="40"/>
        </w:numPr>
        <w:shd w:val="clear" w:color="auto" w:fill="auto"/>
        <w:tabs>
          <w:tab w:val="left" w:pos="2435"/>
          <w:tab w:val="left" w:leader="dot" w:pos="4456"/>
          <w:tab w:val="left" w:leader="dot" w:pos="6222"/>
          <w:tab w:val="left" w:leader="dot" w:pos="6366"/>
          <w:tab w:val="left" w:leader="dot" w:pos="7984"/>
          <w:tab w:val="left" w:leader="dot" w:pos="8138"/>
          <w:tab w:val="right" w:pos="8812"/>
        </w:tabs>
        <w:spacing w:before="0" w:after="0" w:line="475" w:lineRule="exact"/>
        <w:ind w:left="1140" w:hanging="620"/>
      </w:pPr>
      <w:r>
        <w:t>Методика</w:t>
      </w:r>
      <w:r>
        <w:tab/>
        <w:t xml:space="preserve">исследований </w:t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5F387599" w14:textId="77777777" w:rsidR="00FB0D07" w:rsidRDefault="00FB0D07" w:rsidP="00FB0D07">
      <w:pPr>
        <w:pStyle w:val="1c"/>
        <w:widowControl/>
        <w:numPr>
          <w:ilvl w:val="2"/>
          <w:numId w:val="40"/>
        </w:numPr>
        <w:shd w:val="clear" w:color="auto" w:fill="auto"/>
        <w:tabs>
          <w:tab w:val="left" w:pos="2166"/>
        </w:tabs>
        <w:spacing w:before="0" w:after="0" w:line="475" w:lineRule="exact"/>
        <w:ind w:left="1140" w:right="340" w:hanging="620"/>
      </w:pPr>
      <w:r>
        <w:t>Расчет</w:t>
      </w:r>
      <w:r>
        <w:tab/>
        <w:t>состава и исследование влияния глинистых добавок на механические свойства высокоглинозе-</w:t>
      </w:r>
    </w:p>
    <w:p w14:paraId="14046259" w14:textId="77777777" w:rsidR="00FB0D07" w:rsidRDefault="00FB0D07" w:rsidP="00FB0D07">
      <w:pPr>
        <w:pStyle w:val="1c"/>
        <w:shd w:val="clear" w:color="auto" w:fill="auto"/>
        <w:spacing w:after="0" w:line="475" w:lineRule="exact"/>
        <w:ind w:left="1140" w:firstLine="0"/>
      </w:pPr>
      <w:r>
        <w:t xml:space="preserve">шстых композиций на фосфатном </w:t>
      </w:r>
      <w:proofErr w:type="gramStart"/>
      <w:r>
        <w:t>связующем ;</w:t>
      </w:r>
      <w:proofErr w:type="gramEnd"/>
      <w:r>
        <w:t>•••••••• 45</w:t>
      </w:r>
    </w:p>
    <w:p w14:paraId="073DBC2A" w14:textId="77777777" w:rsidR="00FB0D07" w:rsidRDefault="00FB0D07" w:rsidP="00FB0D07">
      <w:pPr>
        <w:pStyle w:val="1c"/>
        <w:shd w:val="clear" w:color="auto" w:fill="auto"/>
        <w:tabs>
          <w:tab w:val="left" w:leader="dot" w:pos="2397"/>
          <w:tab w:val="left" w:leader="dot" w:pos="4456"/>
          <w:tab w:val="left" w:leader="dot" w:pos="7096"/>
          <w:tab w:val="left" w:leader="dot" w:pos="7245"/>
          <w:tab w:val="left" w:pos="9050"/>
        </w:tabs>
        <w:spacing w:after="0" w:line="475" w:lineRule="exact"/>
        <w:ind w:left="1140" w:right="1820"/>
        <w:jc w:val="both"/>
      </w:pPr>
      <w:r>
        <w:t>3«</w:t>
      </w:r>
      <w:proofErr w:type="gramStart"/>
      <w:r>
        <w:t>4.Оптимизация</w:t>
      </w:r>
      <w:proofErr w:type="gramEnd"/>
      <w:r>
        <w:t xml:space="preserve"> состава огнеупорных композиций на фосфатном связующем при помощи математического анализа </w:t>
      </w:r>
      <w:r>
        <w:tab/>
      </w:r>
      <w:r>
        <w:tab/>
      </w:r>
      <w:r>
        <w:tab/>
      </w:r>
      <w:r>
        <w:tab/>
      </w:r>
      <w:r>
        <w:tab/>
        <w:t>59</w:t>
      </w:r>
    </w:p>
    <w:p w14:paraId="666843D7" w14:textId="77777777" w:rsidR="00FB0D07" w:rsidRDefault="00FB0D07" w:rsidP="00FB0D07">
      <w:pPr>
        <w:pStyle w:val="1c"/>
        <w:widowControl/>
        <w:numPr>
          <w:ilvl w:val="0"/>
          <w:numId w:val="41"/>
        </w:numPr>
        <w:shd w:val="clear" w:color="auto" w:fill="auto"/>
        <w:tabs>
          <w:tab w:val="left" w:pos="3631"/>
          <w:tab w:val="left" w:leader="dot" w:pos="4778"/>
          <w:tab w:val="left" w:leader="dot" w:pos="8014"/>
          <w:tab w:val="left" w:leader="dot" w:pos="8158"/>
        </w:tabs>
        <w:spacing w:before="0" w:after="0" w:line="475" w:lineRule="exact"/>
        <w:ind w:left="1140" w:firstLine="0"/>
      </w:pPr>
      <w:r>
        <w:lastRenderedPageBreak/>
        <w:t>Построение</w:t>
      </w:r>
      <w:r>
        <w:tab/>
        <w:t xml:space="preserve">модели </w:t>
      </w:r>
      <w:r>
        <w:tab/>
      </w:r>
      <w:r>
        <w:tab/>
      </w:r>
      <w:r>
        <w:tab/>
        <w:t xml:space="preserve"> 60</w:t>
      </w:r>
    </w:p>
    <w:p w14:paraId="48FF6BDE" w14:textId="77777777" w:rsidR="00FB0D07" w:rsidRDefault="00FB0D07" w:rsidP="00FB0D07">
      <w:pPr>
        <w:pStyle w:val="1c"/>
        <w:widowControl/>
        <w:numPr>
          <w:ilvl w:val="0"/>
          <w:numId w:val="41"/>
        </w:numPr>
        <w:shd w:val="clear" w:color="auto" w:fill="auto"/>
        <w:tabs>
          <w:tab w:val="left" w:pos="3348"/>
          <w:tab w:val="left" w:leader="dot" w:pos="8014"/>
        </w:tabs>
        <w:spacing w:before="0" w:after="0" w:line="475" w:lineRule="exact"/>
        <w:ind w:left="1140" w:firstLine="0"/>
      </w:pPr>
      <w:r>
        <w:t>ПроЕерка</w:t>
      </w:r>
      <w:r>
        <w:tab/>
        <w:t>адекватности моделей ...¿„</w:t>
      </w:r>
      <w:proofErr w:type="gramStart"/>
      <w:r>
        <w:tab/>
        <w:t>;;</w:t>
      </w:r>
      <w:proofErr w:type="gramEnd"/>
      <w:r>
        <w:t xml:space="preserve"> 69</w:t>
      </w:r>
    </w:p>
    <w:p w14:paraId="09D9F88C" w14:textId="77777777" w:rsidR="00FB0D07" w:rsidRDefault="00FB0D07" w:rsidP="00FB0D07">
      <w:pPr>
        <w:pStyle w:val="afb"/>
        <w:shd w:val="clear" w:color="auto" w:fill="auto"/>
        <w:spacing w:line="475" w:lineRule="exact"/>
        <w:ind w:left="1140" w:hanging="620"/>
      </w:pPr>
      <w:r>
        <w:t>3.</w:t>
      </w:r>
      <w:proofErr w:type="gramStart"/>
      <w:r>
        <w:t>5.Определение</w:t>
      </w:r>
      <w:proofErr w:type="gramEnd"/>
      <w:r>
        <w:t xml:space="preserve"> оптимального соотношения фосфатное</w:t>
      </w:r>
    </w:p>
    <w:p w14:paraId="0A20BE9F" w14:textId="77777777" w:rsidR="00FB0D07" w:rsidRDefault="00FB0D07" w:rsidP="00FB0D07">
      <w:pPr>
        <w:pStyle w:val="afb"/>
        <w:shd w:val="clear" w:color="auto" w:fill="auto"/>
        <w:spacing w:line="475" w:lineRule="exact"/>
        <w:ind w:left="1140" w:right="340" w:firstLine="0"/>
      </w:pPr>
      <w:r>
        <w:t>связующее - заполнитель (ж/т) в высокоглинозе</w:t>
      </w:r>
      <w:r>
        <w:softHyphen/>
        <w:t>мистых композициях и исследование влияния кон</w:t>
      </w:r>
      <w:r>
        <w:softHyphen/>
        <w:t>центрации СЕЯзующщго на физико-механические свойства огнеупорного материала¿......¿...</w:t>
      </w:r>
      <w:proofErr w:type="gramStart"/>
      <w:r>
        <w:t>¿....</w:t>
      </w:r>
      <w:proofErr w:type="gramEnd"/>
      <w:r>
        <w:t>г; 74</w:t>
      </w:r>
    </w:p>
    <w:p w14:paraId="253D903D" w14:textId="77777777" w:rsidR="00FB0D07" w:rsidRDefault="00FB0D07" w:rsidP="00FB0D07">
      <w:pPr>
        <w:pStyle w:val="afb"/>
        <w:numPr>
          <w:ilvl w:val="0"/>
          <w:numId w:val="42"/>
        </w:numPr>
        <w:shd w:val="clear" w:color="auto" w:fill="auto"/>
        <w:tabs>
          <w:tab w:val="left" w:pos="3016"/>
        </w:tabs>
        <w:ind w:left="1080" w:right="40" w:hanging="560"/>
        <w:jc w:val="left"/>
      </w:pPr>
      <w:r>
        <w:t>Исследование</w:t>
      </w:r>
      <w:r>
        <w:tab/>
        <w:t>физико-механических</w:t>
      </w:r>
      <w:r>
        <w:rPr>
          <w:rStyle w:val="29pt"/>
        </w:rPr>
        <w:t xml:space="preserve"> сеойств </w:t>
      </w:r>
      <w:r>
        <w:t>огнеупорного материала в зависимости от</w:t>
      </w:r>
    </w:p>
    <w:p w14:paraId="45D329A9" w14:textId="77777777" w:rsidR="00FB0D07" w:rsidRDefault="00FB0D07" w:rsidP="00FB0D07">
      <w:pPr>
        <w:pStyle w:val="1c"/>
        <w:shd w:val="clear" w:color="auto" w:fill="auto"/>
        <w:tabs>
          <w:tab w:val="left" w:leader="dot" w:pos="3840"/>
          <w:tab w:val="left" w:leader="dot" w:pos="7229"/>
          <w:tab w:val="left" w:leader="dot" w:pos="7373"/>
          <w:tab w:val="right" w:pos="9174"/>
        </w:tabs>
        <w:spacing w:after="0" w:line="480" w:lineRule="exact"/>
        <w:ind w:left="1080" w:firstLine="0"/>
      </w:pPr>
      <w:r>
        <w:t xml:space="preserve">метода формования </w:t>
      </w:r>
      <w:r>
        <w:tab/>
      </w:r>
      <w:r>
        <w:tab/>
      </w:r>
      <w:r>
        <w:tab/>
      </w:r>
      <w:r>
        <w:tab/>
        <w:t>85</w:t>
      </w:r>
    </w:p>
    <w:p w14:paraId="50F20665" w14:textId="77777777" w:rsidR="00FB0D07" w:rsidRDefault="00FB0D07" w:rsidP="00FB0D07">
      <w:pPr>
        <w:pStyle w:val="1c"/>
        <w:widowControl/>
        <w:numPr>
          <w:ilvl w:val="0"/>
          <w:numId w:val="43"/>
        </w:numPr>
        <w:shd w:val="clear" w:color="auto" w:fill="auto"/>
        <w:tabs>
          <w:tab w:val="left" w:pos="3427"/>
          <w:tab w:val="left" w:pos="6835"/>
          <w:tab w:val="right" w:pos="9174"/>
        </w:tabs>
        <w:spacing w:before="0" w:after="0" w:line="480" w:lineRule="exact"/>
        <w:ind w:left="1080" w:firstLine="0"/>
      </w:pPr>
      <w:r>
        <w:t>Полусухое</w:t>
      </w:r>
      <w:r>
        <w:tab/>
        <w:t>прессование</w:t>
      </w:r>
      <w:r>
        <w:tab/>
        <w:t>•••••</w:t>
      </w:r>
      <w:proofErr w:type="gramStart"/>
      <w:r>
        <w:t>•..</w:t>
      </w:r>
      <w:proofErr w:type="gramEnd"/>
      <w:r>
        <w:tab/>
        <w:t>86</w:t>
      </w:r>
    </w:p>
    <w:p w14:paraId="6FEC2DE6" w14:textId="77777777" w:rsidR="00FB0D07" w:rsidRDefault="00FB0D07" w:rsidP="00FB0D07">
      <w:pPr>
        <w:pStyle w:val="1c"/>
        <w:widowControl/>
        <w:numPr>
          <w:ilvl w:val="0"/>
          <w:numId w:val="43"/>
        </w:numPr>
        <w:shd w:val="clear" w:color="auto" w:fill="auto"/>
        <w:tabs>
          <w:tab w:val="left" w:pos="4306"/>
          <w:tab w:val="left" w:leader="dot" w:pos="7651"/>
          <w:tab w:val="left" w:leader="dot" w:pos="7795"/>
          <w:tab w:val="left" w:leader="dot" w:pos="7939"/>
        </w:tabs>
        <w:spacing w:before="0" w:after="0" w:line="480" w:lineRule="exact"/>
        <w:ind w:left="1080" w:firstLine="0"/>
      </w:pPr>
      <w:r>
        <w:t>Виброуплотнение</w:t>
      </w:r>
      <w:r>
        <w:tab/>
        <w:t xml:space="preserve">и трамбование </w:t>
      </w:r>
      <w:r>
        <w:tab/>
      </w:r>
      <w:r>
        <w:tab/>
      </w:r>
      <w:r>
        <w:tab/>
        <w:t xml:space="preserve"> 90</w:t>
      </w:r>
    </w:p>
    <w:p w14:paraId="52A9CF42" w14:textId="77777777" w:rsidR="00FB0D07" w:rsidRDefault="00FB0D07" w:rsidP="00FB0D07">
      <w:pPr>
        <w:pStyle w:val="1c"/>
        <w:widowControl/>
        <w:numPr>
          <w:ilvl w:val="0"/>
          <w:numId w:val="42"/>
        </w:numPr>
        <w:shd w:val="clear" w:color="auto" w:fill="auto"/>
        <w:tabs>
          <w:tab w:val="left" w:pos="3021"/>
        </w:tabs>
        <w:spacing w:before="0" w:after="0" w:line="480" w:lineRule="exact"/>
        <w:ind w:left="1080" w:right="40" w:hanging="560"/>
      </w:pPr>
      <w:r>
        <w:t>Исследование</w:t>
      </w:r>
      <w:r>
        <w:tab/>
        <w:t>термических превращений фосфатных связующих и высокоглиноземистых композиций на</w:t>
      </w:r>
    </w:p>
    <w:p w14:paraId="5780F6CF" w14:textId="77777777" w:rsidR="00FB0D07" w:rsidRDefault="00FB0D07" w:rsidP="00FB0D07">
      <w:pPr>
        <w:pStyle w:val="1c"/>
        <w:shd w:val="clear" w:color="auto" w:fill="auto"/>
        <w:tabs>
          <w:tab w:val="left" w:pos="4200"/>
          <w:tab w:val="left" w:leader="dot" w:pos="6782"/>
          <w:tab w:val="left" w:leader="dot" w:pos="6926"/>
          <w:tab w:val="right" w:pos="9174"/>
        </w:tabs>
        <w:spacing w:after="0" w:line="480" w:lineRule="exact"/>
        <w:ind w:left="1080" w:firstLine="0"/>
      </w:pPr>
      <w:r>
        <w:t>их основе</w:t>
      </w:r>
      <w:r>
        <w:tab/>
      </w:r>
      <w:r>
        <w:tab/>
      </w:r>
      <w:r>
        <w:tab/>
      </w:r>
      <w:r>
        <w:tab/>
        <w:t>97</w:t>
      </w:r>
    </w:p>
    <w:p w14:paraId="09894941" w14:textId="77777777" w:rsidR="00FB0D07" w:rsidRDefault="00FB0D07" w:rsidP="00FB0D07">
      <w:pPr>
        <w:pStyle w:val="1c"/>
        <w:widowControl/>
        <w:numPr>
          <w:ilvl w:val="0"/>
          <w:numId w:val="42"/>
        </w:numPr>
        <w:shd w:val="clear" w:color="auto" w:fill="auto"/>
        <w:tabs>
          <w:tab w:val="left" w:pos="3741"/>
        </w:tabs>
        <w:spacing w:before="0" w:after="228" w:line="480" w:lineRule="exact"/>
        <w:ind w:left="1080" w:right="40" w:hanging="560"/>
      </w:pPr>
      <w:r>
        <w:t>Физико-химические</w:t>
      </w:r>
      <w:r>
        <w:tab/>
        <w:t>исследования высоко</w:t>
      </w:r>
      <w:r>
        <w:softHyphen/>
        <w:t xml:space="preserve">глиноземистых композиций на фосфатных </w:t>
      </w:r>
      <w:proofErr w:type="gramStart"/>
      <w:r>
        <w:t>связующих..</w:t>
      </w:r>
      <w:proofErr w:type="gramEnd"/>
      <w:r>
        <w:t xml:space="preserve"> 122</w:t>
      </w:r>
    </w:p>
    <w:p w14:paraId="72CC0539" w14:textId="77777777" w:rsidR="00FB0D07" w:rsidRDefault="00FB0D07" w:rsidP="00FB0D07">
      <w:pPr>
        <w:pStyle w:val="1c"/>
        <w:widowControl/>
        <w:numPr>
          <w:ilvl w:val="1"/>
          <w:numId w:val="42"/>
        </w:numPr>
        <w:shd w:val="clear" w:color="auto" w:fill="auto"/>
        <w:tabs>
          <w:tab w:val="left" w:pos="517"/>
        </w:tabs>
        <w:spacing w:before="0" w:after="164" w:line="270" w:lineRule="exact"/>
        <w:ind w:left="520" w:hanging="440"/>
      </w:pPr>
      <w:r>
        <w:t>ТЕХНОЛОГИЯ ПРОИЗВОДСТВА ВЫС0К0ГЛИН03ЕМИСТЫХ</w:t>
      </w:r>
    </w:p>
    <w:p w14:paraId="17F147E8" w14:textId="77777777" w:rsidR="00FB0D07" w:rsidRDefault="00FB0D07" w:rsidP="00FB0D07">
      <w:pPr>
        <w:pStyle w:val="1c"/>
        <w:shd w:val="clear" w:color="auto" w:fill="auto"/>
        <w:tabs>
          <w:tab w:val="left" w:pos="7614"/>
          <w:tab w:val="right" w:leader="dot" w:pos="8614"/>
        </w:tabs>
        <w:spacing w:after="138" w:line="270" w:lineRule="exact"/>
        <w:ind w:left="1080" w:hanging="560"/>
      </w:pPr>
      <w:r>
        <w:t>ИЗДЕЛИЙ НА ФОСФАТНОМ СВЯЗУЮЩЕМ</w:t>
      </w:r>
      <w:r>
        <w:tab/>
      </w:r>
      <w:r>
        <w:tab/>
        <w:t xml:space="preserve"> 145</w:t>
      </w:r>
    </w:p>
    <w:p w14:paraId="1E604DD9" w14:textId="77777777" w:rsidR="00FB0D07" w:rsidRDefault="00FB0D07" w:rsidP="00FB0D07">
      <w:pPr>
        <w:pStyle w:val="1c"/>
        <w:widowControl/>
        <w:numPr>
          <w:ilvl w:val="1"/>
          <w:numId w:val="42"/>
        </w:numPr>
        <w:shd w:val="clear" w:color="auto" w:fill="auto"/>
        <w:tabs>
          <w:tab w:val="left" w:pos="512"/>
        </w:tabs>
        <w:spacing w:before="0" w:after="0" w:line="480" w:lineRule="exact"/>
        <w:ind w:left="520" w:right="40" w:hanging="440"/>
      </w:pPr>
      <w:r>
        <w:t>ОСНОВНЫЕ ФИЗИКО-МЕХАНИЧЕСКИЕ И ТЕРМИЧЕСКИЕ ХАРАКТЕРИСТИКИ ВЫС0КСГЖН03ЕЖСТ0Г0 ОГНЕ -</w:t>
      </w:r>
    </w:p>
    <w:p w14:paraId="6F974B01" w14:textId="77777777" w:rsidR="00FB0D07" w:rsidRDefault="00FB0D07" w:rsidP="00FB0D07">
      <w:pPr>
        <w:pStyle w:val="1c"/>
        <w:shd w:val="clear" w:color="auto" w:fill="auto"/>
        <w:tabs>
          <w:tab w:val="left" w:leader="dot" w:pos="7918"/>
          <w:tab w:val="right" w:leader="dot" w:pos="8743"/>
        </w:tabs>
        <w:spacing w:after="60" w:line="480" w:lineRule="exact"/>
        <w:ind w:left="520" w:hanging="440"/>
      </w:pPr>
      <w:r>
        <w:t xml:space="preserve">■ УПОРНОГО МАТЕРИАЛА НА ФОСФАТНЫХ </w:t>
      </w:r>
      <w:proofErr w:type="gramStart"/>
      <w:r>
        <w:t>СВЯЗУЮЩИХ .</w:t>
      </w:r>
      <w:proofErr w:type="gramEnd"/>
      <w:r>
        <w:tab/>
      </w:r>
      <w:r>
        <w:tab/>
        <w:t xml:space="preserve"> 150</w:t>
      </w:r>
    </w:p>
    <w:p w14:paraId="1A256904" w14:textId="77777777" w:rsidR="00FB0D07" w:rsidRDefault="00FB0D07" w:rsidP="00FB0D07">
      <w:pPr>
        <w:pStyle w:val="1c"/>
        <w:widowControl/>
        <w:numPr>
          <w:ilvl w:val="1"/>
          <w:numId w:val="42"/>
        </w:numPr>
        <w:shd w:val="clear" w:color="auto" w:fill="auto"/>
        <w:tabs>
          <w:tab w:val="left" w:pos="522"/>
        </w:tabs>
        <w:spacing w:before="0" w:after="0" w:line="480" w:lineRule="exact"/>
        <w:ind w:left="520" w:right="40" w:hanging="440"/>
      </w:pPr>
      <w:r>
        <w:t>ТЕХНО-ЭКОНОМИЧЕСКИЕ ПОКАЗАТЕЛИ ПРОМЫШЛЕННОГО ВНЕДРЕНИЯ ВЫС0К0ГЛИН03ЕМИСТ0Г0 ОГНЕУПОРНОГО</w:t>
      </w:r>
    </w:p>
    <w:p w14:paraId="283A777A" w14:textId="77777777" w:rsidR="00FB0D07" w:rsidRDefault="00FB0D07" w:rsidP="00FB0D07">
      <w:pPr>
        <w:pStyle w:val="1c"/>
        <w:shd w:val="clear" w:color="auto" w:fill="auto"/>
        <w:tabs>
          <w:tab w:val="left" w:leader="dot" w:pos="5478"/>
          <w:tab w:val="left" w:leader="dot" w:pos="7682"/>
          <w:tab w:val="right" w:leader="dot" w:pos="8614"/>
        </w:tabs>
        <w:spacing w:after="0" w:line="480" w:lineRule="exact"/>
        <w:ind w:left="1080" w:hanging="560"/>
      </w:pPr>
      <w:r>
        <w:lastRenderedPageBreak/>
        <w:t xml:space="preserve">МАТЕРИМА НА ФОСФАТНОМ СВЯЗУЮЩЕМ </w:t>
      </w:r>
      <w:r>
        <w:tab/>
      </w:r>
      <w:r>
        <w:tab/>
      </w:r>
      <w:r>
        <w:tab/>
        <w:t xml:space="preserve"> 152</w:t>
      </w:r>
    </w:p>
    <w:p w14:paraId="66063F90" w14:textId="77777777" w:rsidR="00FB0D07" w:rsidRDefault="00FB0D07" w:rsidP="00FB0D07">
      <w:pPr>
        <w:pStyle w:val="1c"/>
        <w:shd w:val="clear" w:color="auto" w:fill="auto"/>
        <w:tabs>
          <w:tab w:val="left" w:leader="dot" w:pos="6069"/>
          <w:tab w:val="left" w:leader="dot" w:pos="6213"/>
          <w:tab w:val="right" w:leader="dot" w:pos="8614"/>
        </w:tabs>
        <w:spacing w:after="0" w:line="605" w:lineRule="exact"/>
        <w:ind w:left="1080" w:hanging="560"/>
      </w:pPr>
      <w:r>
        <w:rPr>
          <w:rStyle w:val="CourierNew"/>
        </w:rPr>
        <w:t>основные</w:t>
      </w:r>
      <w:r>
        <w:rPr>
          <w:rStyle w:val="1pt2"/>
        </w:rPr>
        <w:t xml:space="preserve"> вывода</w:t>
      </w:r>
      <w:proofErr w:type="gramStart"/>
      <w:r>
        <w:rPr>
          <w:rStyle w:val="1pt2"/>
        </w:rPr>
        <w:t xml:space="preserve"> </w:t>
      </w:r>
      <w:r w:rsidRPr="00FB0D07">
        <w:rPr>
          <w:rStyle w:val="1pt2"/>
          <w:lang w:eastAsia="en-US"/>
        </w:rPr>
        <w:t>....</w:t>
      </w:r>
      <w:proofErr w:type="gramEnd"/>
      <w:r w:rsidRPr="00FB0D07">
        <w:rPr>
          <w:rStyle w:val="1pt2"/>
          <w:lang w:eastAsia="en-US"/>
        </w:rPr>
        <w:t>.</w:t>
      </w:r>
      <w:r>
        <w:rPr>
          <w:rStyle w:val="1pt2"/>
          <w:lang w:val="en-US" w:eastAsia="en-US"/>
        </w:rPr>
        <w:t>i</w:t>
      </w:r>
      <w:r w:rsidRPr="00FB0D07">
        <w:rPr>
          <w:rStyle w:val="1pt2"/>
          <w:lang w:eastAsia="en-US"/>
        </w:rPr>
        <w:t>*.</w:t>
      </w:r>
      <w:r>
        <w:rPr>
          <w:rStyle w:val="1pt2"/>
        </w:rPr>
        <w:t>......</w:t>
      </w:r>
      <w:r>
        <w:rPr>
          <w:rStyle w:val="1pt2"/>
        </w:rPr>
        <w:tab/>
      </w:r>
      <w:r>
        <w:rPr>
          <w:rStyle w:val="1pt2"/>
        </w:rPr>
        <w:tab/>
      </w:r>
      <w:r>
        <w:rPr>
          <w:rStyle w:val="1pt2"/>
        </w:rPr>
        <w:tab/>
      </w:r>
      <w:r>
        <w:rPr>
          <w:rStyle w:val="28"/>
        </w:rPr>
        <w:t>155</w:t>
      </w:r>
    </w:p>
    <w:p w14:paraId="18C152A7" w14:textId="77777777" w:rsidR="00FB0D07" w:rsidRDefault="00FB0D07" w:rsidP="00FB0D07">
      <w:pPr>
        <w:pStyle w:val="1c"/>
        <w:shd w:val="clear" w:color="auto" w:fill="auto"/>
        <w:tabs>
          <w:tab w:val="left" w:leader="dot" w:pos="2987"/>
          <w:tab w:val="left" w:leader="dot" w:pos="3870"/>
          <w:tab w:val="left" w:leader="dot" w:pos="4019"/>
          <w:tab w:val="left" w:leader="dot" w:pos="5051"/>
          <w:tab w:val="left" w:leader="dot" w:pos="5195"/>
          <w:tab w:val="left" w:leader="dot" w:pos="7110"/>
        </w:tabs>
        <w:spacing w:after="0" w:line="605" w:lineRule="exact"/>
        <w:ind w:left="1080" w:hanging="560"/>
      </w:pPr>
      <w:r>
        <w:t>ЛИТЕРАТУРА</w:t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4B8C9441" w14:textId="77777777" w:rsidR="00FB0D07" w:rsidRDefault="00FB0D07" w:rsidP="00FB0D07">
      <w:pPr>
        <w:pStyle w:val="1c"/>
        <w:shd w:val="clear" w:color="auto" w:fill="auto"/>
        <w:tabs>
          <w:tab w:val="left" w:leader="dot" w:pos="4749"/>
          <w:tab w:val="left" w:leader="dot" w:pos="4888"/>
          <w:tab w:val="left" w:leader="dot" w:pos="5637"/>
          <w:tab w:val="left" w:leader="dot" w:pos="5781"/>
          <w:tab w:val="left" w:leader="dot" w:pos="6659"/>
          <w:tab w:val="left" w:leader="dot" w:pos="6798"/>
          <w:tab w:val="right" w:pos="8614"/>
        </w:tabs>
        <w:spacing w:after="0" w:line="605" w:lineRule="exact"/>
        <w:ind w:left="1080" w:hanging="560"/>
        <w:sectPr w:rsidR="00FB0D07">
          <w:type w:val="continuous"/>
          <w:pgSz w:w="16837" w:h="23810"/>
          <w:pgMar w:top="4675" w:right="3792" w:bottom="5120" w:left="3262" w:header="0" w:footer="3" w:gutter="0"/>
          <w:cols w:space="720"/>
          <w:noEndnote/>
          <w:docGrid w:linePitch="360"/>
        </w:sectPr>
      </w:pPr>
      <w:r>
        <w:t>ПРИЛОЖЕНИЯ 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2CB54608" w14:textId="27178D74" w:rsidR="001E48D2" w:rsidRDefault="00FB0D07" w:rsidP="00FB0D07">
      <w:r>
        <w:lastRenderedPageBreak/>
        <w:fldChar w:fldCharType="end"/>
      </w:r>
    </w:p>
    <w:p w14:paraId="4D9A59DB" w14:textId="0041F940" w:rsidR="00FB0D07" w:rsidRDefault="00FB0D07" w:rsidP="00FB0D07"/>
    <w:p w14:paraId="7E03ACD7" w14:textId="3B603E61" w:rsidR="00FB0D07" w:rsidRDefault="00FB0D07" w:rsidP="00FB0D07"/>
    <w:p w14:paraId="2890B7C1" w14:textId="77777777" w:rsidR="00FB0D07" w:rsidRDefault="00FB0D07" w:rsidP="00FB0D07">
      <w:pPr>
        <w:pStyle w:val="741"/>
        <w:keepNext/>
        <w:keepLines/>
        <w:shd w:val="clear" w:color="auto" w:fill="auto"/>
        <w:spacing w:after="475" w:line="290" w:lineRule="exact"/>
        <w:ind w:left="2820"/>
      </w:pPr>
      <w:bookmarkStart w:id="0" w:name="bookmark20"/>
      <w:r>
        <w:rPr>
          <w:rStyle w:val="742"/>
          <w:smallCaps/>
        </w:rPr>
        <w:t>основные</w:t>
      </w:r>
      <w:r>
        <w:rPr>
          <w:rStyle w:val="LucidaSansUnicode"/>
          <w:smallCaps w:val="0"/>
        </w:rPr>
        <w:t xml:space="preserve"> вывода</w:t>
      </w:r>
      <w:bookmarkEnd w:id="0"/>
    </w:p>
    <w:p w14:paraId="52E626BA" w14:textId="77777777" w:rsidR="00FB0D07" w:rsidRDefault="00FB0D07" w:rsidP="00FB0D07">
      <w:pPr>
        <w:pStyle w:val="afb"/>
        <w:numPr>
          <w:ilvl w:val="0"/>
          <w:numId w:val="44"/>
        </w:numPr>
        <w:shd w:val="clear" w:color="auto" w:fill="auto"/>
        <w:tabs>
          <w:tab w:val="left" w:pos="1286"/>
        </w:tabs>
        <w:spacing w:after="64"/>
        <w:ind w:left="100" w:right="20" w:firstLine="740"/>
        <w:jc w:val="left"/>
      </w:pPr>
      <w:r>
        <w:t>Сделано теоретическое обоснование и расчет составов новых высокоглиноземистых композиций на трех фосфатных связу</w:t>
      </w:r>
      <w:r>
        <w:softHyphen/>
        <w:t>ющих (НдР0</w:t>
      </w:r>
      <w:r>
        <w:rPr>
          <w:vertAlign w:val="subscript"/>
        </w:rPr>
        <w:t>4</w:t>
      </w:r>
      <w:r>
        <w:t>, АХФС, АБФС) с целью использования их в качестве огнеупорных материалов в тепловых агрегатах с температурой эксплуатации до 1500°С.</w:t>
      </w:r>
    </w:p>
    <w:p w14:paraId="62688F93" w14:textId="77777777" w:rsidR="00FB0D07" w:rsidRDefault="00FB0D07" w:rsidP="00FB0D07">
      <w:pPr>
        <w:pStyle w:val="afb"/>
        <w:numPr>
          <w:ilvl w:val="0"/>
          <w:numId w:val="44"/>
        </w:numPr>
        <w:shd w:val="clear" w:color="auto" w:fill="auto"/>
        <w:tabs>
          <w:tab w:val="left" w:pos="2601"/>
        </w:tabs>
        <w:spacing w:after="60" w:line="475" w:lineRule="exact"/>
        <w:ind w:left="100" w:right="340" w:firstLine="740"/>
        <w:jc w:val="both"/>
      </w:pPr>
      <w:r>
        <w:t>Выявлено,</w:t>
      </w:r>
      <w:r>
        <w:tab/>
        <w:t>что оптимальными физико-механическими и тер</w:t>
      </w:r>
      <w:r>
        <w:softHyphen/>
        <w:t>мическими свойствами обладает огнеупорный материал с содержа</w:t>
      </w:r>
      <w:r>
        <w:softHyphen/>
        <w:t xml:space="preserve">нием М2О3 60-70$ и Р2О5 8-12$, чему соответствуют компо» зиции, включающие: шамот 20-30$, </w:t>
      </w:r>
      <w:proofErr w:type="gramStart"/>
      <w:r>
        <w:t>о(</w:t>
      </w:r>
      <w:proofErr w:type="gramEnd"/>
      <w:r>
        <w:t>/ - глинозем 20-30$, каолин Р025$ и фосфатное связующее 10-15$,</w:t>
      </w:r>
    </w:p>
    <w:p w14:paraId="6058EAB8" w14:textId="77777777" w:rsidR="00FB0D07" w:rsidRDefault="00FB0D07" w:rsidP="00FB0D07">
      <w:pPr>
        <w:pStyle w:val="afb"/>
        <w:numPr>
          <w:ilvl w:val="1"/>
          <w:numId w:val="44"/>
        </w:numPr>
        <w:shd w:val="clear" w:color="auto" w:fill="auto"/>
        <w:tabs>
          <w:tab w:val="left" w:pos="3134"/>
        </w:tabs>
        <w:spacing w:after="52" w:line="475" w:lineRule="exact"/>
        <w:ind w:left="100" w:right="20" w:firstLine="740"/>
        <w:jc w:val="left"/>
      </w:pPr>
      <w:r>
        <w:t>Установлено,</w:t>
      </w:r>
      <w:r>
        <w:tab/>
        <w:t>что после нагревания композиций до 300 - 400°С происходит стабилизация физико-механических свойств, свя</w:t>
      </w:r>
      <w:r>
        <w:softHyphen/>
        <w:t>зывание Р^О^ в водонерастворимые соединения и материал приобре</w:t>
      </w:r>
      <w:r>
        <w:softHyphen/>
        <w:t>тает водостойкость. Этот температурный интервал можно рекомен</w:t>
      </w:r>
      <w:r>
        <w:softHyphen/>
        <w:t>довать для термической обработки материала в промышленной тех</w:t>
      </w:r>
      <w:r>
        <w:softHyphen/>
        <w:t>нологии производства. При первичном нагревании материала от 100 до 400°С происходит увеличение механической прочности. Повыше</w:t>
      </w:r>
      <w:r>
        <w:softHyphen/>
        <w:t>ние температуры в интервале 400 - 900°С вызывает некоторое раз</w:t>
      </w:r>
      <w:r>
        <w:softHyphen/>
        <w:t>упрочнение, связанное с разложением непрореагировавшего каоли - нита и переходом АГРО^ в высокотемпературные формы, Дальнейшне нагревание до 1400°С ведет к увеличению прочности, которая со</w:t>
      </w:r>
      <w:r>
        <w:softHyphen/>
        <w:t>храняется после охлаждения и последующего нагрева»</w:t>
      </w:r>
    </w:p>
    <w:p w14:paraId="4E317966" w14:textId="77777777" w:rsidR="00FB0D07" w:rsidRDefault="00FB0D07" w:rsidP="00FB0D07">
      <w:pPr>
        <w:pStyle w:val="afb"/>
        <w:numPr>
          <w:ilvl w:val="1"/>
          <w:numId w:val="44"/>
        </w:numPr>
        <w:shd w:val="clear" w:color="auto" w:fill="auto"/>
        <w:tabs>
          <w:tab w:val="left" w:pos="1286"/>
        </w:tabs>
        <w:spacing w:after="64" w:line="485" w:lineRule="exact"/>
        <w:ind w:left="100" w:right="20" w:firstLine="740"/>
        <w:jc w:val="left"/>
      </w:pPr>
      <w:r>
        <w:lastRenderedPageBreak/>
        <w:t>Методом термогравиметрического анализа изучены физико- химические процессы, протекающие в каолинсодержащих композици</w:t>
      </w:r>
      <w:r>
        <w:softHyphen/>
        <w:t>ях при нагревании; Обнаружен эндотермический эффект и основные потери массы в интервале 75-330°С, связанные с удалением ад - сорбционной воды и дегидратацией кислых фосфатов алюминия, эн</w:t>
      </w:r>
      <w:r>
        <w:softHyphen/>
        <w:t>дотермический эффект при 520-660°С с незначительной потерей массы обусловлен разложением непрореагировавшего каолинита. Два экзотермических эффекта при 805 и Ю00°С свидетельствуют о полиморфных превращениях</w:t>
      </w:r>
      <w:r>
        <w:tab/>
        <w:t>и А1Р0^ и кристаллизации</w:t>
      </w:r>
    </w:p>
    <w:p w14:paraId="5B0B0EC0" w14:textId="77777777" w:rsidR="00FB0D07" w:rsidRDefault="00FB0D07" w:rsidP="00FB0D07">
      <w:pPr>
        <w:pStyle w:val="afb"/>
        <w:shd w:val="clear" w:color="auto" w:fill="auto"/>
        <w:spacing w:after="64"/>
        <w:ind w:left="60" w:firstLine="0"/>
      </w:pPr>
      <w:r>
        <w:t>продуктов разложения каолинита.</w:t>
      </w:r>
    </w:p>
    <w:p w14:paraId="5241CDA4" w14:textId="77777777" w:rsidR="00FB0D07" w:rsidRDefault="00FB0D07" w:rsidP="00FB0D07">
      <w:pPr>
        <w:pStyle w:val="afb"/>
        <w:shd w:val="clear" w:color="auto" w:fill="auto"/>
        <w:spacing w:after="60" w:line="475" w:lineRule="exact"/>
        <w:ind w:left="60" w:right="440" w:firstLine="740"/>
      </w:pPr>
      <w:r>
        <w:t>5.Методами рентгенофазового анализа, ИК-спектроскопии и петрографии изучен фазовый состав и его изменения при нагрева</w:t>
      </w:r>
      <w:r>
        <w:softHyphen/>
        <w:t>нии. Все композиции на Н^ВД^, АХФС и АБФС имеют аналогичный фазовый состав при низко- и высокотемпературной обработке : кристаллические фазы исходных компонентов (каолинит, оО ~ А1</w:t>
      </w:r>
      <w:r>
        <w:rPr>
          <w:vertAlign w:val="subscript"/>
        </w:rPr>
        <w:t>2</w:t>
      </w:r>
      <w:r>
        <w:t>0д, кварц, кристобалит, муллит) и кислых фосфатов алюминия типа А1Н</w:t>
      </w:r>
      <w:r>
        <w:rPr>
          <w:vertAlign w:val="subscript"/>
        </w:rPr>
        <w:t>3</w:t>
      </w:r>
      <w:r>
        <w:t>(Р0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.Н</w:t>
      </w:r>
      <w:r>
        <w:rPr>
          <w:vertAlign w:val="subscript"/>
        </w:rPr>
        <w:t>2</w:t>
      </w:r>
      <w:r>
        <w:t>0</w:t>
      </w:r>
      <w:r>
        <w:rPr>
          <w:rStyle w:val="Arial0"/>
        </w:rPr>
        <w:t xml:space="preserve"> и</w:t>
      </w:r>
      <w:r>
        <w:t xml:space="preserve"> А1(Н</w:t>
      </w:r>
      <w:r>
        <w:rPr>
          <w:vertAlign w:val="subscript"/>
        </w:rPr>
        <w:t>2</w:t>
      </w:r>
      <w:r>
        <w:t>Р0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rPr>
          <w:rStyle w:val="Arial0"/>
        </w:rPr>
        <w:t xml:space="preserve"> до</w:t>
      </w:r>
      <w:r>
        <w:t xml:space="preserve"> 300°С, А1Р0</w:t>
      </w:r>
      <w:r>
        <w:rPr>
          <w:vertAlign w:val="subscript"/>
        </w:rPr>
        <w:t>4</w:t>
      </w:r>
      <w:r>
        <w:rPr>
          <w:rStyle w:val="Arial0"/>
        </w:rPr>
        <w:t xml:space="preserve"> в</w:t>
      </w:r>
      <w:r>
        <w:t xml:space="preserve"> тридими- товой и кристобалитовои форме до Ю00°С и увеличение количест</w:t>
      </w:r>
      <w:r>
        <w:softHyphen/>
        <w:t>ва последних до 1400°С. Кроме того, в интервале 1000 - 1400°С увеличивается количество муллита за счет кристаллизации про</w:t>
      </w:r>
      <w:r>
        <w:softHyphen/>
        <w:t>дуктов разложения непрореагировавшего каолинита.</w:t>
      </w:r>
    </w:p>
    <w:p w14:paraId="417AEA04" w14:textId="77777777" w:rsidR="00FB0D07" w:rsidRDefault="00FB0D07" w:rsidP="00FB0D07">
      <w:pPr>
        <w:pStyle w:val="afb"/>
        <w:shd w:val="clear" w:color="auto" w:fill="auto"/>
        <w:spacing w:after="56" w:line="475" w:lineRule="exact"/>
        <w:ind w:left="60" w:right="440" w:firstLine="740"/>
        <w:jc w:val="both"/>
      </w:pPr>
      <w:r>
        <w:t>6.Электронномикроскопическими исследованиями установлено, что микроструктура материала при нагревании до 1400°С претер</w:t>
      </w:r>
      <w:r>
        <w:softHyphen/>
        <w:t>певает определенные изменения. При переходе от 300 к 1400°С наблюдается небольшой рост кристаллов и агрегатов, а также их слабое оплавление. Содержание стеклофазы увеличивается незна</w:t>
      </w:r>
      <w:r>
        <w:softHyphen/>
        <w:t xml:space="preserve">чительно, что </w:t>
      </w:r>
      <w:r>
        <w:lastRenderedPageBreak/>
        <w:t xml:space="preserve">свидетельствует о стабильности термических </w:t>
      </w:r>
      <w:r>
        <w:rPr>
          <w:rStyle w:val="410pt"/>
        </w:rPr>
        <w:t>сеойсте</w:t>
      </w:r>
      <w:r>
        <w:t xml:space="preserve"> материала в интервале эксплуатационных температур;</w:t>
      </w:r>
    </w:p>
    <w:p w14:paraId="23706256" w14:textId="77777777" w:rsidR="00FB0D07" w:rsidRDefault="00FB0D07" w:rsidP="00FB0D07">
      <w:pPr>
        <w:pStyle w:val="afb"/>
        <w:shd w:val="clear" w:color="auto" w:fill="auto"/>
        <w:spacing w:after="64"/>
        <w:ind w:left="60" w:right="440" w:firstLine="740"/>
      </w:pPr>
      <w:r>
        <w:t>7.Изучено влияние разбавления фосфатных связующих</w:t>
      </w:r>
      <w:r>
        <w:rPr>
          <w:rStyle w:val="410pt"/>
        </w:rPr>
        <w:t xml:space="preserve"> еодой </w:t>
      </w:r>
      <w:r>
        <w:t>на свойства высокоглиноземистых огнеупоров. Разбавление</w:t>
      </w:r>
      <w:r>
        <w:rPr>
          <w:rStyle w:val="410pt"/>
        </w:rPr>
        <w:t xml:space="preserve"> сея- </w:t>
      </w:r>
      <w:r>
        <w:t>зующего до определенных пределов приводит к увеличению проч</w:t>
      </w:r>
      <w:r>
        <w:softHyphen/>
        <w:t>ности вследствие увеличения активности связующего, снижения его вязкости и улучшения эффекта смачивания зерен заполните</w:t>
      </w:r>
      <w:r>
        <w:softHyphen/>
        <w:t>лей. Оптимальным является разбавление Н3РО4 до концентрации 60-65%, а в стандартные АХФС и АБФС рекомендуется вводить до 20% воды. Такое разбавление обеспечивает ж/т композиции 0,26 - 0,27 при содержании Р2О5 в системе 10-12% в случае НзР0</w:t>
      </w:r>
      <w:r>
        <w:rPr>
          <w:vertAlign w:val="subscript"/>
        </w:rPr>
        <w:t>4</w:t>
      </w:r>
      <w:r>
        <w:t xml:space="preserve"> и 8-9% - в случае ШС и АБФС.</w:t>
      </w:r>
    </w:p>
    <w:p w14:paraId="297950A4" w14:textId="77777777" w:rsidR="00FB0D07" w:rsidRDefault="00FB0D07" w:rsidP="00FB0D07">
      <w:pPr>
        <w:pStyle w:val="afb"/>
        <w:numPr>
          <w:ilvl w:val="2"/>
          <w:numId w:val="44"/>
        </w:numPr>
        <w:shd w:val="clear" w:color="auto" w:fill="auto"/>
        <w:tabs>
          <w:tab w:val="left" w:pos="1236"/>
        </w:tabs>
        <w:spacing w:line="475" w:lineRule="exact"/>
        <w:ind w:left="60" w:right="320" w:firstLine="740"/>
        <w:jc w:val="left"/>
      </w:pPr>
      <w:r>
        <w:t>При оценке методов формования высокоглиноземистых фос</w:t>
      </w:r>
      <w:r>
        <w:softHyphen/>
        <w:t>фатных огнеупоров установлено, что полусухое прессование поз</w:t>
      </w:r>
      <w:r>
        <w:softHyphen/>
        <w:t>воляет получать изделия с высокой механической прочностью (40-70 МПа) при минимальном расходе фосфатного связующего</w:t>
      </w:r>
    </w:p>
    <w:p w14:paraId="2E175D6D" w14:textId="77777777" w:rsidR="00FB0D07" w:rsidRDefault="00FB0D07" w:rsidP="00FB0D07">
      <w:pPr>
        <w:pStyle w:val="afb"/>
        <w:shd w:val="clear" w:color="auto" w:fill="auto"/>
        <w:spacing w:line="475" w:lineRule="exact"/>
        <w:ind w:left="60" w:right="460" w:firstLine="0"/>
      </w:pPr>
      <w:r>
        <w:t xml:space="preserve">(15 </w:t>
      </w:r>
      <w:proofErr w:type="gramStart"/>
      <w:r>
        <w:t>масс.%</w:t>
      </w:r>
      <w:proofErr w:type="gramEnd"/>
      <w:r>
        <w:t>); Метод легко поддается автоматизации и выгодно отличается большой производительностью. Полусухое прессование можно рекомендовать для массового производства фасонных изде</w:t>
      </w:r>
      <w:r>
        <w:softHyphen/>
        <w:t>лий средних габаритов.</w:t>
      </w:r>
    </w:p>
    <w:p w14:paraId="5167DAC4" w14:textId="77777777" w:rsidR="00FB0D07" w:rsidRDefault="00FB0D07" w:rsidP="00FB0D07">
      <w:pPr>
        <w:pStyle w:val="afb"/>
        <w:shd w:val="clear" w:color="auto" w:fill="auto"/>
        <w:spacing w:after="56" w:line="475" w:lineRule="exact"/>
        <w:ind w:left="60" w:right="320" w:firstLine="740"/>
      </w:pPr>
      <w:r>
        <w:t>Метод виброуплотнения с притрузом характеризуется не</w:t>
      </w:r>
      <w:r>
        <w:softHyphen/>
        <w:t>сложной технологией, но требует относительно большего расхо</w:t>
      </w:r>
      <w:r>
        <w:softHyphen/>
        <w:t xml:space="preserve">да связующего (20 </w:t>
      </w:r>
      <w:proofErr w:type="gramStart"/>
      <w:r>
        <w:t>масс.%</w:t>
      </w:r>
      <w:proofErr w:type="gramEnd"/>
      <w:r>
        <w:t>). Формование виброуплотнением с при- грузом может быть рекомендовано для изготовления огнеупорных конструкций больших размеров и сложной конфигурации.</w:t>
      </w:r>
    </w:p>
    <w:p w14:paraId="18406593" w14:textId="77777777" w:rsidR="00FB0D07" w:rsidRDefault="00FB0D07" w:rsidP="00FB0D07">
      <w:pPr>
        <w:pStyle w:val="afb"/>
        <w:numPr>
          <w:ilvl w:val="2"/>
          <w:numId w:val="44"/>
        </w:numPr>
        <w:shd w:val="clear" w:color="auto" w:fill="auto"/>
        <w:tabs>
          <w:tab w:val="left" w:pos="1236"/>
        </w:tabs>
        <w:spacing w:after="60"/>
        <w:ind w:left="60" w:right="320" w:firstLine="740"/>
        <w:jc w:val="left"/>
      </w:pPr>
      <w:r>
        <w:lastRenderedPageBreak/>
        <w:t>По результатам проведенных исследований разработаны промышленные составы высокоглиноземистых огнеупорных материа</w:t>
      </w:r>
      <w:r>
        <w:softHyphen/>
        <w:t>лов на фосфатных связующих и технология изготовления изделий.</w:t>
      </w:r>
    </w:p>
    <w:p w14:paraId="7985801B" w14:textId="77777777" w:rsidR="00FB0D07" w:rsidRDefault="00FB0D07" w:rsidP="00FB0D07">
      <w:pPr>
        <w:pStyle w:val="afb"/>
        <w:numPr>
          <w:ilvl w:val="2"/>
          <w:numId w:val="44"/>
        </w:numPr>
        <w:shd w:val="clear" w:color="auto" w:fill="auto"/>
        <w:tabs>
          <w:tab w:val="left" w:pos="1375"/>
        </w:tabs>
        <w:ind w:left="60" w:right="320" w:firstLine="740"/>
        <w:jc w:val="left"/>
      </w:pPr>
      <w:r>
        <w:t>Разработанные составы и технология полусухого прессо</w:t>
      </w:r>
      <w:r>
        <w:softHyphen/>
        <w:t>вания высокоглиноземистых огнеупоров на фосфатном связующем внедрены в цехе производства фосфатных материалов на заводе строительной керамики "Спартак" Минстройматериалов Латвийской ССР; Высокоглиноземистые фосфатные огнеупоры применяются в</w:t>
      </w:r>
    </w:p>
    <w:p w14:paraId="1190857F" w14:textId="77777777" w:rsidR="00FB0D07" w:rsidRDefault="00FB0D07" w:rsidP="00FB0D07">
      <w:pPr>
        <w:pStyle w:val="afb"/>
        <w:shd w:val="clear" w:color="auto" w:fill="auto"/>
        <w:spacing w:after="60"/>
        <w:ind w:left="20" w:right="360" w:firstLine="0"/>
        <w:jc w:val="both"/>
      </w:pPr>
      <w:r>
        <w:t>стекловаренных печах и других тепловых агрегатах предприятий промышленности строительных материалов Латвийской ССР, а так</w:t>
      </w:r>
      <w:r>
        <w:softHyphen/>
        <w:t>же поставляются на экспорт.</w:t>
      </w:r>
    </w:p>
    <w:p w14:paraId="7645F570" w14:textId="705E0C03" w:rsidR="00FB0D07" w:rsidRPr="00FB0D07" w:rsidRDefault="00FB0D07" w:rsidP="00FB0D07">
      <w:r>
        <w:t xml:space="preserve">II. Годовой экономический эффект от использования </w:t>
      </w:r>
      <w:proofErr w:type="gramStart"/>
      <w:r>
        <w:t>горе- лочных</w:t>
      </w:r>
      <w:proofErr w:type="gramEnd"/>
      <w:r>
        <w:t xml:space="preserve"> блоков из высокоглиноземистых композиций на фосфатных связующих в стекловаренных печах Рижского стекольного завода "Саркандаугава" составил 77 214 рублей</w:t>
      </w:r>
    </w:p>
    <w:sectPr w:rsidR="00FB0D07" w:rsidRPr="00FB0D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F2A8" w14:textId="77777777" w:rsidR="00D415A6" w:rsidRDefault="00D415A6">
      <w:pPr>
        <w:spacing w:after="0" w:line="240" w:lineRule="auto"/>
      </w:pPr>
      <w:r>
        <w:separator/>
      </w:r>
    </w:p>
  </w:endnote>
  <w:endnote w:type="continuationSeparator" w:id="0">
    <w:p w14:paraId="20CC4330" w14:textId="77777777" w:rsidR="00D415A6" w:rsidRDefault="00D4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5E37" w14:textId="77777777" w:rsidR="00D415A6" w:rsidRDefault="00D415A6">
      <w:pPr>
        <w:spacing w:after="0" w:line="240" w:lineRule="auto"/>
      </w:pPr>
      <w:r>
        <w:separator/>
      </w:r>
    </w:p>
  </w:footnote>
  <w:footnote w:type="continuationSeparator" w:id="0">
    <w:p w14:paraId="4C52FBC1" w14:textId="77777777" w:rsidR="00D415A6" w:rsidRDefault="00D4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15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7,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1"/>
      <w:numFmt w:val="decimal"/>
      <w:lvlText w:val="%8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2"/>
      <w:numFmt w:val="decimal"/>
      <w:lvlText w:val="%9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4"/>
  </w:num>
  <w:num w:numId="5">
    <w:abstractNumId w:val="42"/>
  </w:num>
  <w:num w:numId="6">
    <w:abstractNumId w:val="31"/>
  </w:num>
  <w:num w:numId="7">
    <w:abstractNumId w:val="23"/>
  </w:num>
  <w:num w:numId="8">
    <w:abstractNumId w:val="36"/>
  </w:num>
  <w:num w:numId="9">
    <w:abstractNumId w:val="33"/>
  </w:num>
  <w:num w:numId="10">
    <w:abstractNumId w:val="41"/>
  </w:num>
  <w:num w:numId="11">
    <w:abstractNumId w:val="17"/>
  </w:num>
  <w:num w:numId="12">
    <w:abstractNumId w:val="24"/>
  </w:num>
  <w:num w:numId="13">
    <w:abstractNumId w:val="27"/>
  </w:num>
  <w:num w:numId="14">
    <w:abstractNumId w:val="13"/>
  </w:num>
  <w:num w:numId="15">
    <w:abstractNumId w:val="19"/>
  </w:num>
  <w:num w:numId="16">
    <w:abstractNumId w:val="35"/>
  </w:num>
  <w:num w:numId="17">
    <w:abstractNumId w:val="43"/>
  </w:num>
  <w:num w:numId="18">
    <w:abstractNumId w:val="26"/>
  </w:num>
  <w:num w:numId="19">
    <w:abstractNumId w:val="10"/>
  </w:num>
  <w:num w:numId="20">
    <w:abstractNumId w:val="22"/>
  </w:num>
  <w:num w:numId="21">
    <w:abstractNumId w:val="18"/>
  </w:num>
  <w:num w:numId="22">
    <w:abstractNumId w:val="15"/>
  </w:num>
  <w:num w:numId="23">
    <w:abstractNumId w:val="30"/>
  </w:num>
  <w:num w:numId="24">
    <w:abstractNumId w:val="29"/>
  </w:num>
  <w:num w:numId="25">
    <w:abstractNumId w:val="28"/>
  </w:num>
  <w:num w:numId="26">
    <w:abstractNumId w:val="37"/>
  </w:num>
  <w:num w:numId="27">
    <w:abstractNumId w:val="8"/>
  </w:num>
  <w:num w:numId="28">
    <w:abstractNumId w:val="25"/>
  </w:num>
  <w:num w:numId="29">
    <w:abstractNumId w:val="16"/>
  </w:num>
  <w:num w:numId="30">
    <w:abstractNumId w:val="39"/>
  </w:num>
  <w:num w:numId="31">
    <w:abstractNumId w:val="32"/>
  </w:num>
  <w:num w:numId="32">
    <w:abstractNumId w:val="38"/>
  </w:num>
  <w:num w:numId="33">
    <w:abstractNumId w:val="11"/>
  </w:num>
  <w:num w:numId="34">
    <w:abstractNumId w:val="34"/>
  </w:num>
  <w:num w:numId="35">
    <w:abstractNumId w:val="40"/>
  </w:num>
  <w:num w:numId="36">
    <w:abstractNumId w:val="12"/>
  </w:num>
  <w:num w:numId="37">
    <w:abstractNumId w:val="20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5A6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154664</TotalTime>
  <Pages>8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9711</cp:revision>
  <dcterms:created xsi:type="dcterms:W3CDTF">2024-06-20T08:51:00Z</dcterms:created>
  <dcterms:modified xsi:type="dcterms:W3CDTF">2025-03-02T08:48:00Z</dcterms:modified>
  <cp:category/>
</cp:coreProperties>
</file>