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69FB" w14:textId="77777777" w:rsidR="00D527C0" w:rsidRPr="00D527C0" w:rsidRDefault="00D527C0" w:rsidP="00D527C0">
      <w:pPr>
        <w:keepNext/>
        <w:keepLines/>
        <w:tabs>
          <w:tab w:val="clear" w:pos="709"/>
        </w:tabs>
        <w:suppressAutoHyphens w:val="0"/>
        <w:spacing w:after="477" w:line="280" w:lineRule="exact"/>
        <w:ind w:left="20" w:firstLine="0"/>
        <w:jc w:val="center"/>
        <w:outlineLvl w:val="0"/>
        <w:rPr>
          <w:rFonts w:ascii="Times New Roman" w:eastAsia="Times New Roman" w:hAnsi="Times New Roman" w:cs="Times New Roman"/>
          <w:b/>
          <w:bCs/>
          <w:kern w:val="0"/>
          <w:sz w:val="28"/>
          <w:szCs w:val="28"/>
          <w:lang w:eastAsia="ru-RU"/>
        </w:rPr>
      </w:pPr>
      <w:bookmarkStart w:id="0" w:name="bookmark84"/>
      <w:r w:rsidRPr="00D527C0">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1206A58B" w14:textId="77777777" w:rsidR="00D527C0" w:rsidRPr="00D527C0" w:rsidRDefault="00D527C0" w:rsidP="00D527C0">
      <w:pPr>
        <w:tabs>
          <w:tab w:val="clear" w:pos="709"/>
        </w:tabs>
        <w:suppressAutoHyphens w:val="0"/>
        <w:spacing w:after="0" w:line="480" w:lineRule="exact"/>
        <w:ind w:firstLine="1440"/>
        <w:rPr>
          <w:rFonts w:ascii="Times New Roman" w:eastAsia="Times New Roman" w:hAnsi="Times New Roman" w:cs="Times New Roman"/>
          <w:kern w:val="0"/>
          <w:sz w:val="26"/>
          <w:szCs w:val="26"/>
          <w:lang w:eastAsia="ru-RU"/>
        </w:rPr>
      </w:pPr>
      <w:bookmarkStart w:id="1" w:name="bookmark85"/>
      <w:r w:rsidRPr="00D527C0">
        <w:rPr>
          <w:rFonts w:ascii="Times New Roman" w:eastAsia="Times New Roman" w:hAnsi="Times New Roman" w:cs="Times New Roman"/>
          <w:color w:val="000000"/>
          <w:kern w:val="0"/>
          <w:sz w:val="26"/>
          <w:szCs w:val="26"/>
          <w:shd w:val="clear" w:color="auto" w:fill="FFFFFF"/>
          <w:lang w:eastAsia="ru-RU"/>
        </w:rPr>
        <w:t>В современном мире СД относят к глобальным медико-социальным проблемам. ДР является одним из серьезных осложнений СД, которая занимает лидирующую позицию в причинах слепоты у пациентов трудоспособного возраста. По данным Федерального регистра СД на 2021 год распространенность ДР в РФ составили почти 850 тысяч пациентов.</w:t>
      </w:r>
      <w:bookmarkEnd w:id="1"/>
    </w:p>
    <w:p w14:paraId="24097EE5" w14:textId="77777777" w:rsidR="00D527C0" w:rsidRPr="00D527C0" w:rsidRDefault="00D527C0" w:rsidP="00D527C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На конец 2021 года ПОУГ была выявлена более чем у 1,3 миллиона человек в РФ. Вторичная НГ — это одна из тяжелейших форм вторичной глаукомы. Это рефрактерное, реактивно протекающее заболевание, которое характеризуется выраженным стойким болевым синдромом и высоким ВГД. По данным ФГБУ «НМИЦ Эндокринологии» МЗ РФ, частота встречаемости пациентов с НГ составляет около 0,3% среди пациентов с СД. К сожалению, единого регистра этих пациентов в России нет и, вероятно, невозможно экстраполировать это значение на всю популяцию в целом. Однако существует вероятность того, что эти цифры даже несколько занижены, так как почти половина случаев заболевания СД не диагностирована.</w:t>
      </w:r>
    </w:p>
    <w:p w14:paraId="1B55CFEA" w14:textId="77777777" w:rsidR="00D527C0" w:rsidRPr="00D527C0" w:rsidRDefault="00D527C0" w:rsidP="00D527C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Приступая к лечению НГ стоит помнить, что в его основе лежит своевременная и постоянная компенсация всех видов обмена (углеводного, жирового и белкового), а также совместное наблюдение со смежными специалистами (эндокринологами, кардиологами, нефрологами и подологами). Медикаментозная монотерапия глазными каплями как правило оказывается неэффективной и только комбинированный подход может позволить отсрочить или избежать хирургического лечения.</w:t>
      </w:r>
    </w:p>
    <w:p w14:paraId="46160ABD" w14:textId="77777777" w:rsidR="00D527C0" w:rsidRPr="00D527C0" w:rsidRDefault="00D527C0" w:rsidP="00D527C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 xml:space="preserve">На данный момент существует огромное множество хирургических методик лечения НГ. Однако во многих случаях наступление гипотензивного эффекта не всегда стабильно. Среди большого количества комбинированных хирургических способов лечения выделятся именно дренажная хирургия. Пациенты с НГ и СД находятся в группе быстрого развития фиброзного процесса новообразованных путей оттока и большого количества геморрагических осложнений. Проведение дренажной хирургии до сих пор остается самым стабильным способом достижения целевого ВГД (в некоторых случаях поэтапно с помощью КТДЛЦ) и купирования болевого синдрома. Надо помнить о том, что </w:t>
      </w:r>
      <w:r w:rsidRPr="00D527C0">
        <w:rPr>
          <w:rFonts w:ascii="Times New Roman" w:eastAsia="Times New Roman" w:hAnsi="Times New Roman" w:cs="Times New Roman"/>
          <w:color w:val="000000"/>
          <w:kern w:val="0"/>
          <w:sz w:val="26"/>
          <w:szCs w:val="26"/>
          <w:shd w:val="clear" w:color="auto" w:fill="FFFFFF"/>
          <w:lang w:eastAsia="ru-RU"/>
        </w:rPr>
        <w:lastRenderedPageBreak/>
        <w:t>пациенты с СД находятся в группе высокого риска интраоперационных и послеоперационных осложнений.</w:t>
      </w:r>
    </w:p>
    <w:p w14:paraId="56A6E07B" w14:textId="77777777" w:rsidR="00D527C0" w:rsidRPr="00D527C0" w:rsidRDefault="00D527C0" w:rsidP="00D527C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Важнейшую роль в патогенезе ПДР и НГ играют иммунологические факторы, действующие локально в определенном отрезке глаза. Многие исследователи доказали взаимосвязь провоспалительных цитокинов и факторов роста во ВПК и СТ и течение ДР.</w:t>
      </w:r>
    </w:p>
    <w:p w14:paraId="5AFEB722" w14:textId="77777777" w:rsidR="00D527C0" w:rsidRPr="00D527C0" w:rsidRDefault="00D527C0" w:rsidP="00D527C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 xml:space="preserve">Таким образом, становится актуальным оценка эффективности проведенной дренажной хирургии НГ у пациентов с СД в отдаленном периоде, а также определение диагностической значимости некоторых биомаркеров </w:t>
      </w:r>
      <w:r w:rsidRPr="00D527C0">
        <w:rPr>
          <w:rFonts w:ascii="Times New Roman" w:eastAsia="Times New Roman" w:hAnsi="Times New Roman" w:cs="Times New Roman"/>
          <w:color w:val="000000"/>
          <w:kern w:val="0"/>
          <w:sz w:val="26"/>
          <w:szCs w:val="26"/>
          <w:shd w:val="clear" w:color="auto" w:fill="FFFFFF"/>
          <w:lang w:eastAsia="en-US"/>
        </w:rPr>
        <w:t>(</w:t>
      </w:r>
      <w:r w:rsidRPr="00D527C0">
        <w:rPr>
          <w:rFonts w:ascii="Times New Roman" w:eastAsia="Times New Roman" w:hAnsi="Times New Roman" w:cs="Times New Roman"/>
          <w:color w:val="000000"/>
          <w:kern w:val="0"/>
          <w:sz w:val="26"/>
          <w:szCs w:val="26"/>
          <w:shd w:val="clear" w:color="auto" w:fill="FFFFFF"/>
          <w:lang w:val="en-US" w:eastAsia="en-US"/>
        </w:rPr>
        <w:t>VEGF</w:t>
      </w:r>
      <w:r w:rsidRPr="00D527C0">
        <w:rPr>
          <w:rFonts w:ascii="Times New Roman" w:eastAsia="Times New Roman" w:hAnsi="Times New Roman" w:cs="Times New Roman"/>
          <w:color w:val="000000"/>
          <w:kern w:val="0"/>
          <w:sz w:val="26"/>
          <w:szCs w:val="26"/>
          <w:shd w:val="clear" w:color="auto" w:fill="FFFFFF"/>
          <w:lang w:eastAsia="en-US"/>
        </w:rPr>
        <w:t xml:space="preserve">, </w:t>
      </w:r>
      <w:r w:rsidRPr="00D527C0">
        <w:rPr>
          <w:rFonts w:ascii="Times New Roman" w:eastAsia="Times New Roman" w:hAnsi="Times New Roman" w:cs="Times New Roman"/>
          <w:color w:val="000000"/>
          <w:kern w:val="0"/>
          <w:sz w:val="26"/>
          <w:szCs w:val="26"/>
          <w:shd w:val="clear" w:color="auto" w:fill="FFFFFF"/>
          <w:lang w:val="en-US" w:eastAsia="en-US"/>
        </w:rPr>
        <w:t>IL</w:t>
      </w:r>
      <w:r w:rsidRPr="00D527C0">
        <w:rPr>
          <w:rFonts w:ascii="Times New Roman" w:eastAsia="Times New Roman" w:hAnsi="Times New Roman" w:cs="Times New Roman"/>
          <w:color w:val="000000"/>
          <w:kern w:val="0"/>
          <w:sz w:val="26"/>
          <w:szCs w:val="26"/>
          <w:shd w:val="clear" w:color="auto" w:fill="FFFFFF"/>
          <w:lang w:eastAsia="en-US"/>
        </w:rPr>
        <w:t xml:space="preserve">-6, </w:t>
      </w:r>
      <w:r w:rsidRPr="00D527C0">
        <w:rPr>
          <w:rFonts w:ascii="Times New Roman" w:eastAsia="Times New Roman" w:hAnsi="Times New Roman" w:cs="Times New Roman"/>
          <w:color w:val="000000"/>
          <w:kern w:val="0"/>
          <w:sz w:val="26"/>
          <w:szCs w:val="26"/>
          <w:shd w:val="clear" w:color="auto" w:fill="FFFFFF"/>
          <w:lang w:val="en-US" w:eastAsia="en-US"/>
        </w:rPr>
        <w:t>IL</w:t>
      </w:r>
      <w:r w:rsidRPr="00D527C0">
        <w:rPr>
          <w:rFonts w:ascii="Times New Roman" w:eastAsia="Times New Roman" w:hAnsi="Times New Roman" w:cs="Times New Roman"/>
          <w:color w:val="000000"/>
          <w:kern w:val="0"/>
          <w:sz w:val="26"/>
          <w:szCs w:val="26"/>
          <w:shd w:val="clear" w:color="auto" w:fill="FFFFFF"/>
          <w:lang w:eastAsia="en-US"/>
        </w:rPr>
        <w:t xml:space="preserve">-8, </w:t>
      </w:r>
      <w:r w:rsidRPr="00D527C0">
        <w:rPr>
          <w:rFonts w:ascii="Times New Roman" w:eastAsia="Times New Roman" w:hAnsi="Times New Roman" w:cs="Times New Roman"/>
          <w:color w:val="000000"/>
          <w:kern w:val="0"/>
          <w:sz w:val="26"/>
          <w:szCs w:val="26"/>
          <w:shd w:val="clear" w:color="auto" w:fill="FFFFFF"/>
          <w:lang w:val="en-US" w:eastAsia="en-US"/>
        </w:rPr>
        <w:t>TGF</w:t>
      </w:r>
      <w:r w:rsidRPr="00D527C0">
        <w:rPr>
          <w:rFonts w:ascii="Times New Roman" w:eastAsia="Times New Roman" w:hAnsi="Times New Roman" w:cs="Times New Roman"/>
          <w:color w:val="000000"/>
          <w:kern w:val="0"/>
          <w:sz w:val="26"/>
          <w:szCs w:val="26"/>
          <w:shd w:val="clear" w:color="auto" w:fill="FFFFFF"/>
          <w:lang w:eastAsia="en-US"/>
        </w:rPr>
        <w:t xml:space="preserve">-02, </w:t>
      </w:r>
      <w:r w:rsidRPr="00D527C0">
        <w:rPr>
          <w:rFonts w:ascii="Times New Roman" w:eastAsia="Times New Roman" w:hAnsi="Times New Roman" w:cs="Times New Roman"/>
          <w:color w:val="000000"/>
          <w:kern w:val="0"/>
          <w:sz w:val="26"/>
          <w:szCs w:val="26"/>
          <w:shd w:val="clear" w:color="auto" w:fill="FFFFFF"/>
          <w:lang w:val="en-US" w:eastAsia="en-US"/>
        </w:rPr>
        <w:t>HGF</w:t>
      </w:r>
      <w:r w:rsidRPr="00D527C0">
        <w:rPr>
          <w:rFonts w:ascii="Times New Roman" w:eastAsia="Times New Roman" w:hAnsi="Times New Roman" w:cs="Times New Roman"/>
          <w:color w:val="000000"/>
          <w:kern w:val="0"/>
          <w:sz w:val="26"/>
          <w:szCs w:val="26"/>
          <w:shd w:val="clear" w:color="auto" w:fill="FFFFFF"/>
          <w:lang w:eastAsia="en-US"/>
        </w:rPr>
        <w:t xml:space="preserve">), </w:t>
      </w:r>
      <w:r w:rsidRPr="00D527C0">
        <w:rPr>
          <w:rFonts w:ascii="Times New Roman" w:eastAsia="Times New Roman" w:hAnsi="Times New Roman" w:cs="Times New Roman"/>
          <w:color w:val="000000"/>
          <w:kern w:val="0"/>
          <w:sz w:val="26"/>
          <w:szCs w:val="26"/>
          <w:shd w:val="clear" w:color="auto" w:fill="FFFFFF"/>
          <w:lang w:eastAsia="ru-RU"/>
        </w:rPr>
        <w:t>напрямую участвующих в процессах патологической неоваскуляризации и пролиферации.</w:t>
      </w:r>
    </w:p>
    <w:p w14:paraId="78C47521" w14:textId="77777777" w:rsidR="00D527C0" w:rsidRPr="00D527C0" w:rsidRDefault="00D527C0" w:rsidP="00D527C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Одним из важных факторов в оценке отдаленного периода является показатель ВГД. Самый высокий процент успеха компенсации ВГД был в I группе у 23 пациентов (85,2%), но стоит заметить, что у 2 пациентов (7,4%) значения были ниже 9 мм рт. ст., и также у 2 (7,4%)- выше 24 мм рт. ст. Во II группе у 26 пациентов (81,25%) были достигнуты целевые значения ВГД, 4 пациента (12,4%) были с низким уровнем ВГД, и у 2 пациентов (6,25%) ВГД превысило 24 мм рт. ст. В III группе процент успеха компенсации ВГД был у 18 пациентов (60%), у 4 пациентов (13,35%) отмечался повышенный уровень, у 8 пациентов (26,7%) ниже 9 мм рт. ст.</w:t>
      </w:r>
    </w:p>
    <w:p w14:paraId="23CE74C4" w14:textId="77777777" w:rsidR="00D527C0" w:rsidRPr="00D527C0" w:rsidRDefault="00D527C0" w:rsidP="00D527C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У всех пациентов, значения ВГД, которых были выше 24 мм рт. ст. на первом этапе было назначение комбинированных лекарственных препаратов. При отсутствии эффекта была назначена КТДЛЦ.</w:t>
      </w:r>
    </w:p>
    <w:p w14:paraId="42624DC2" w14:textId="77777777" w:rsidR="00D527C0" w:rsidRPr="00D527C0" w:rsidRDefault="00D527C0" w:rsidP="00D527C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Низкое ВГД имеет серьезные последствия для пациентов и может приводить к субатрофии глазного яблока. У 3 пациентов была выполнена энуклеация с протезированием, в связи с отсутствием зрительных функций и косметическим дефектом из-за изменения архитектоники глаза. Важно отметить, что у всех пациентов удалось купировать болевой синдром после проведения имплантации клапана и, в некоторых случаях, проведения дополнительного лечения в виде КТДЛЦ.</w:t>
      </w:r>
    </w:p>
    <w:p w14:paraId="504DDB0D" w14:textId="77777777" w:rsidR="00D527C0" w:rsidRPr="00D527C0" w:rsidRDefault="00D527C0" w:rsidP="00D527C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В результате исследования была зафиксирована прямая зависимость: количество осложнений от длительности срока наблюдения, показателей НЬА1</w:t>
      </w:r>
      <w:r w:rsidRPr="00D527C0">
        <w:rPr>
          <w:rFonts w:ascii="Times New Roman" w:eastAsia="Times New Roman" w:hAnsi="Times New Roman" w:cs="Times New Roman"/>
          <w:smallCaps/>
          <w:color w:val="000000"/>
          <w:kern w:val="0"/>
          <w:sz w:val="26"/>
          <w:szCs w:val="26"/>
          <w:shd w:val="clear" w:color="auto" w:fill="FFFFFF"/>
          <w:lang w:eastAsia="ru-RU"/>
        </w:rPr>
        <w:t>с</w:t>
      </w:r>
      <w:r w:rsidRPr="00D527C0">
        <w:rPr>
          <w:rFonts w:ascii="Times New Roman" w:eastAsia="Times New Roman" w:hAnsi="Times New Roman" w:cs="Times New Roman"/>
          <w:color w:val="000000"/>
          <w:kern w:val="0"/>
          <w:sz w:val="26"/>
          <w:szCs w:val="26"/>
          <w:shd w:val="clear" w:color="auto" w:fill="FFFFFF"/>
          <w:lang w:eastAsia="ru-RU"/>
        </w:rPr>
        <w:t xml:space="preserve"> и стажа СД.</w:t>
      </w:r>
    </w:p>
    <w:p w14:paraId="55D957D0" w14:textId="77777777" w:rsidR="00D527C0" w:rsidRPr="00D527C0" w:rsidRDefault="00D527C0" w:rsidP="00D527C0">
      <w:pPr>
        <w:tabs>
          <w:tab w:val="clear" w:pos="709"/>
        </w:tabs>
        <w:suppressAutoHyphens w:val="0"/>
        <w:spacing w:after="0" w:line="480" w:lineRule="exact"/>
        <w:ind w:firstLine="88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 xml:space="preserve">Возникновение ЭЭД в I группе было зафиксировано у 4 пациентов (14,8%), во II группе - у 7 пациентов (21,9%), и в III группе - у 9 пациентов (30%). Сосудистое бельмо </w:t>
      </w:r>
      <w:r w:rsidRPr="00D527C0">
        <w:rPr>
          <w:rFonts w:ascii="Times New Roman" w:eastAsia="Times New Roman" w:hAnsi="Times New Roman" w:cs="Times New Roman"/>
          <w:color w:val="000000"/>
          <w:kern w:val="0"/>
          <w:sz w:val="26"/>
          <w:szCs w:val="26"/>
          <w:shd w:val="clear" w:color="auto" w:fill="FFFFFF"/>
          <w:lang w:eastAsia="ru-RU"/>
        </w:rPr>
        <w:lastRenderedPageBreak/>
        <w:t>зарегистрировано в I группе у 3 пациентов (11,1%), во II группе 5 пациентов (15,6%), и в III группе - у 15 пациентов (16,9%). Возникновение этих осложнений было обусловлено не качеством проведенной операции, а зависело от общесоматического состояния пациента и от показателей баланса обменных процессов.</w:t>
      </w:r>
    </w:p>
    <w:p w14:paraId="0E0ABB74" w14:textId="77777777" w:rsidR="00D527C0" w:rsidRPr="00D527C0" w:rsidRDefault="00D527C0" w:rsidP="00D527C0">
      <w:pPr>
        <w:tabs>
          <w:tab w:val="clear" w:pos="709"/>
        </w:tabs>
        <w:suppressAutoHyphens w:val="0"/>
        <w:spacing w:after="0" w:line="480" w:lineRule="exact"/>
        <w:ind w:firstLine="88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 xml:space="preserve">Обнажение трубки дренажа встречалось только в </w:t>
      </w:r>
      <w:r w:rsidRPr="00D527C0">
        <w:rPr>
          <w:rFonts w:ascii="Times New Roman" w:eastAsia="Times New Roman" w:hAnsi="Times New Roman" w:cs="Times New Roman"/>
          <w:color w:val="000000"/>
          <w:kern w:val="0"/>
          <w:sz w:val="26"/>
          <w:szCs w:val="26"/>
          <w:shd w:val="clear" w:color="auto" w:fill="FFFFFF"/>
          <w:lang w:val="en-US" w:eastAsia="en-US"/>
        </w:rPr>
        <w:t>I</w:t>
      </w:r>
      <w:r w:rsidRPr="00D527C0">
        <w:rPr>
          <w:rFonts w:ascii="Times New Roman" w:eastAsia="Times New Roman" w:hAnsi="Times New Roman" w:cs="Times New Roman"/>
          <w:color w:val="000000"/>
          <w:kern w:val="0"/>
          <w:sz w:val="26"/>
          <w:szCs w:val="26"/>
          <w:shd w:val="clear" w:color="auto" w:fill="FFFFFF"/>
          <w:lang w:eastAsia="en-US"/>
        </w:rPr>
        <w:t xml:space="preserve"> </w:t>
      </w:r>
      <w:r w:rsidRPr="00D527C0">
        <w:rPr>
          <w:rFonts w:ascii="Times New Roman" w:eastAsia="Times New Roman" w:hAnsi="Times New Roman" w:cs="Times New Roman"/>
          <w:color w:val="000000"/>
          <w:kern w:val="0"/>
          <w:sz w:val="26"/>
          <w:szCs w:val="26"/>
          <w:shd w:val="clear" w:color="auto" w:fill="FFFFFF"/>
          <w:lang w:eastAsia="ru-RU"/>
        </w:rPr>
        <w:t xml:space="preserve">группе, а во </w:t>
      </w:r>
      <w:r w:rsidRPr="00D527C0">
        <w:rPr>
          <w:rFonts w:ascii="Times New Roman" w:eastAsia="Times New Roman" w:hAnsi="Times New Roman" w:cs="Times New Roman"/>
          <w:color w:val="000000"/>
          <w:kern w:val="0"/>
          <w:sz w:val="26"/>
          <w:szCs w:val="26"/>
          <w:shd w:val="clear" w:color="auto" w:fill="FFFFFF"/>
          <w:lang w:val="en-US" w:eastAsia="en-US"/>
        </w:rPr>
        <w:t>II</w:t>
      </w:r>
      <w:r w:rsidRPr="00D527C0">
        <w:rPr>
          <w:rFonts w:ascii="Times New Roman" w:eastAsia="Times New Roman" w:hAnsi="Times New Roman" w:cs="Times New Roman"/>
          <w:color w:val="000000"/>
          <w:kern w:val="0"/>
          <w:sz w:val="26"/>
          <w:szCs w:val="26"/>
          <w:shd w:val="clear" w:color="auto" w:fill="FFFFFF"/>
          <w:lang w:eastAsia="en-US"/>
        </w:rPr>
        <w:t xml:space="preserve"> </w:t>
      </w:r>
      <w:r w:rsidRPr="00D527C0">
        <w:rPr>
          <w:rFonts w:ascii="Times New Roman" w:eastAsia="Times New Roman" w:hAnsi="Times New Roman" w:cs="Times New Roman"/>
          <w:color w:val="000000"/>
          <w:kern w:val="0"/>
          <w:sz w:val="26"/>
          <w:szCs w:val="26"/>
          <w:shd w:val="clear" w:color="auto" w:fill="FFFFFF"/>
          <w:lang w:eastAsia="ru-RU"/>
        </w:rPr>
        <w:t xml:space="preserve">и </w:t>
      </w:r>
      <w:r w:rsidRPr="00D527C0">
        <w:rPr>
          <w:rFonts w:ascii="Times New Roman" w:eastAsia="Times New Roman" w:hAnsi="Times New Roman" w:cs="Times New Roman"/>
          <w:color w:val="000000"/>
          <w:kern w:val="0"/>
          <w:sz w:val="26"/>
          <w:szCs w:val="26"/>
          <w:shd w:val="clear" w:color="auto" w:fill="FFFFFF"/>
          <w:lang w:val="en-US" w:eastAsia="en-US"/>
        </w:rPr>
        <w:t>III</w:t>
      </w:r>
      <w:r w:rsidRPr="00D527C0">
        <w:rPr>
          <w:rFonts w:ascii="Times New Roman" w:eastAsia="Times New Roman" w:hAnsi="Times New Roman" w:cs="Times New Roman"/>
          <w:color w:val="000000"/>
          <w:kern w:val="0"/>
          <w:sz w:val="26"/>
          <w:szCs w:val="26"/>
          <w:shd w:val="clear" w:color="auto" w:fill="FFFFFF"/>
          <w:lang w:eastAsia="en-US"/>
        </w:rPr>
        <w:t xml:space="preserve"> </w:t>
      </w:r>
      <w:r w:rsidRPr="00D527C0">
        <w:rPr>
          <w:rFonts w:ascii="Times New Roman" w:eastAsia="Times New Roman" w:hAnsi="Times New Roman" w:cs="Times New Roman"/>
          <w:color w:val="000000"/>
          <w:kern w:val="0"/>
          <w:sz w:val="26"/>
          <w:szCs w:val="26"/>
          <w:shd w:val="clear" w:color="auto" w:fill="FFFFFF"/>
          <w:lang w:eastAsia="ru-RU"/>
        </w:rPr>
        <w:t xml:space="preserve">группе не встречалось. Также и захват пигментного листка был диагностирован только в </w:t>
      </w:r>
      <w:r w:rsidRPr="00D527C0">
        <w:rPr>
          <w:rFonts w:ascii="Times New Roman" w:eastAsia="Times New Roman" w:hAnsi="Times New Roman" w:cs="Times New Roman"/>
          <w:color w:val="000000"/>
          <w:kern w:val="0"/>
          <w:sz w:val="26"/>
          <w:szCs w:val="26"/>
          <w:shd w:val="clear" w:color="auto" w:fill="FFFFFF"/>
          <w:lang w:val="en-US" w:eastAsia="en-US"/>
        </w:rPr>
        <w:t>I</w:t>
      </w:r>
      <w:r w:rsidRPr="00D527C0">
        <w:rPr>
          <w:rFonts w:ascii="Times New Roman" w:eastAsia="Times New Roman" w:hAnsi="Times New Roman" w:cs="Times New Roman"/>
          <w:color w:val="000000"/>
          <w:kern w:val="0"/>
          <w:sz w:val="26"/>
          <w:szCs w:val="26"/>
          <w:shd w:val="clear" w:color="auto" w:fill="FFFFFF"/>
          <w:lang w:eastAsia="en-US"/>
        </w:rPr>
        <w:t xml:space="preserve"> </w:t>
      </w:r>
      <w:r w:rsidRPr="00D527C0">
        <w:rPr>
          <w:rFonts w:ascii="Times New Roman" w:eastAsia="Times New Roman" w:hAnsi="Times New Roman" w:cs="Times New Roman"/>
          <w:color w:val="000000"/>
          <w:kern w:val="0"/>
          <w:sz w:val="26"/>
          <w:szCs w:val="26"/>
          <w:shd w:val="clear" w:color="auto" w:fill="FFFFFF"/>
          <w:lang w:eastAsia="ru-RU"/>
        </w:rPr>
        <w:t xml:space="preserve">группе. Субатрофия глазного яблока случилась во </w:t>
      </w:r>
      <w:r w:rsidRPr="00D527C0">
        <w:rPr>
          <w:rFonts w:ascii="Times New Roman" w:eastAsia="Times New Roman" w:hAnsi="Times New Roman" w:cs="Times New Roman"/>
          <w:color w:val="000000"/>
          <w:kern w:val="0"/>
          <w:sz w:val="26"/>
          <w:szCs w:val="26"/>
          <w:shd w:val="clear" w:color="auto" w:fill="FFFFFF"/>
          <w:lang w:val="en-US" w:eastAsia="en-US"/>
        </w:rPr>
        <w:t>II</w:t>
      </w:r>
      <w:r w:rsidRPr="00D527C0">
        <w:rPr>
          <w:rFonts w:ascii="Times New Roman" w:eastAsia="Times New Roman" w:hAnsi="Times New Roman" w:cs="Times New Roman"/>
          <w:color w:val="000000"/>
          <w:kern w:val="0"/>
          <w:sz w:val="26"/>
          <w:szCs w:val="26"/>
          <w:shd w:val="clear" w:color="auto" w:fill="FFFFFF"/>
          <w:lang w:eastAsia="en-US"/>
        </w:rPr>
        <w:t xml:space="preserve"> </w:t>
      </w:r>
      <w:r w:rsidRPr="00D527C0">
        <w:rPr>
          <w:rFonts w:ascii="Times New Roman" w:eastAsia="Times New Roman" w:hAnsi="Times New Roman" w:cs="Times New Roman"/>
          <w:color w:val="000000"/>
          <w:kern w:val="0"/>
          <w:sz w:val="26"/>
          <w:szCs w:val="26"/>
          <w:shd w:val="clear" w:color="auto" w:fill="FFFFFF"/>
          <w:lang w:eastAsia="ru-RU"/>
        </w:rPr>
        <w:t xml:space="preserve">и </w:t>
      </w:r>
      <w:r w:rsidRPr="00D527C0">
        <w:rPr>
          <w:rFonts w:ascii="Times New Roman" w:eastAsia="Times New Roman" w:hAnsi="Times New Roman" w:cs="Times New Roman"/>
          <w:color w:val="000000"/>
          <w:kern w:val="0"/>
          <w:sz w:val="26"/>
          <w:szCs w:val="26"/>
          <w:shd w:val="clear" w:color="auto" w:fill="FFFFFF"/>
          <w:lang w:val="en-US" w:eastAsia="en-US"/>
        </w:rPr>
        <w:t>III</w:t>
      </w:r>
      <w:r w:rsidRPr="00D527C0">
        <w:rPr>
          <w:rFonts w:ascii="Times New Roman" w:eastAsia="Times New Roman" w:hAnsi="Times New Roman" w:cs="Times New Roman"/>
          <w:color w:val="000000"/>
          <w:kern w:val="0"/>
          <w:sz w:val="26"/>
          <w:szCs w:val="26"/>
          <w:shd w:val="clear" w:color="auto" w:fill="FFFFFF"/>
          <w:lang w:eastAsia="en-US"/>
        </w:rPr>
        <w:t xml:space="preserve"> </w:t>
      </w:r>
      <w:r w:rsidRPr="00D527C0">
        <w:rPr>
          <w:rFonts w:ascii="Times New Roman" w:eastAsia="Times New Roman" w:hAnsi="Times New Roman" w:cs="Times New Roman"/>
          <w:color w:val="000000"/>
          <w:kern w:val="0"/>
          <w:sz w:val="26"/>
          <w:szCs w:val="26"/>
          <w:shd w:val="clear" w:color="auto" w:fill="FFFFFF"/>
          <w:lang w:eastAsia="ru-RU"/>
        </w:rPr>
        <w:t>группе 2 и 4 пациентов (6,3%, 13,3%). Заднекапсулярная катаракта в I группе была у 4 пациентов (14,8%), во II группе - у 5 пациентов (15,6%), и в III группе - у 9 пациентов (30%).</w:t>
      </w:r>
    </w:p>
    <w:p w14:paraId="4CC61267" w14:textId="77777777" w:rsidR="00D527C0" w:rsidRPr="00D527C0" w:rsidRDefault="00D527C0" w:rsidP="00D527C0">
      <w:pPr>
        <w:tabs>
          <w:tab w:val="clear" w:pos="709"/>
        </w:tabs>
        <w:suppressAutoHyphens w:val="0"/>
        <w:spacing w:after="0" w:line="480" w:lineRule="exact"/>
        <w:ind w:firstLine="88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 xml:space="preserve">Все результаты осложнений по группа коррелируют с показателями МКОЗ. В I группе осложнений зафиксировано меньше всего и 14 пациентов имели показатели МКОЗ: от 0,1 до 0,5. Во II группе всего 8 человек не имели осложнений, и в </w:t>
      </w:r>
      <w:r w:rsidRPr="00D527C0">
        <w:rPr>
          <w:rFonts w:ascii="Times New Roman" w:eastAsia="Times New Roman" w:hAnsi="Times New Roman" w:cs="Times New Roman"/>
          <w:color w:val="000000"/>
          <w:kern w:val="0"/>
          <w:sz w:val="26"/>
          <w:szCs w:val="26"/>
          <w:shd w:val="clear" w:color="auto" w:fill="FFFFFF"/>
          <w:lang w:val="en-US" w:eastAsia="en-US"/>
        </w:rPr>
        <w:t xml:space="preserve">III </w:t>
      </w:r>
      <w:r w:rsidRPr="00D527C0">
        <w:rPr>
          <w:rFonts w:ascii="Times New Roman" w:eastAsia="Times New Roman" w:hAnsi="Times New Roman" w:cs="Times New Roman"/>
          <w:color w:val="000000"/>
          <w:kern w:val="0"/>
          <w:sz w:val="26"/>
          <w:szCs w:val="26"/>
          <w:shd w:val="clear" w:color="auto" w:fill="FFFFFF"/>
          <w:lang w:eastAsia="ru-RU"/>
        </w:rPr>
        <w:t>группе только 4 (с низким показателем МКОЗ).</w:t>
      </w:r>
    </w:p>
    <w:p w14:paraId="65BCDB46" w14:textId="77777777" w:rsidR="00D527C0" w:rsidRPr="00D527C0" w:rsidRDefault="00D527C0" w:rsidP="00D527C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 xml:space="preserve">Исследование цитокинового профиля ВПК глаза вошло 78 пациентов (78 глаз), которые были разделены на 3 группы. Всем пациентам была проведена плановая ультразвуковая ФЭК с имплантацией ИОЛ. Во всех трех группах исследовали уровни таких биомаркеров как: </w:t>
      </w:r>
      <w:r w:rsidRPr="00D527C0">
        <w:rPr>
          <w:rFonts w:ascii="Times New Roman" w:eastAsia="Times New Roman" w:hAnsi="Times New Roman" w:cs="Times New Roman"/>
          <w:color w:val="000000"/>
          <w:kern w:val="0"/>
          <w:sz w:val="26"/>
          <w:szCs w:val="26"/>
          <w:shd w:val="clear" w:color="auto" w:fill="FFFFFF"/>
          <w:lang w:val="en-US" w:eastAsia="en-US"/>
        </w:rPr>
        <w:t>VEGF, IL-6, IL-8, TGF-P2, HGF.</w:t>
      </w:r>
    </w:p>
    <w:p w14:paraId="1934EED0" w14:textId="77777777" w:rsidR="00D527C0" w:rsidRPr="00D527C0" w:rsidRDefault="00D527C0" w:rsidP="00D527C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 xml:space="preserve">В исследовании цитокинов СТ отобрали также 78 пациентов (78 глаз), которые были разделены на 3 группы (Т; П.1; К.2). Всем пациентам была проведена плановая витрэктомия. В этом исследовании проводили исследование концентрации отобранных маркеров: </w:t>
      </w:r>
      <w:r w:rsidRPr="00D527C0">
        <w:rPr>
          <w:rFonts w:ascii="Times New Roman" w:eastAsia="Times New Roman" w:hAnsi="Times New Roman" w:cs="Times New Roman"/>
          <w:color w:val="000000"/>
          <w:kern w:val="0"/>
          <w:sz w:val="26"/>
          <w:szCs w:val="26"/>
          <w:shd w:val="clear" w:color="auto" w:fill="FFFFFF"/>
          <w:lang w:val="en-US" w:eastAsia="en-US"/>
        </w:rPr>
        <w:t>VEGF, IL-6, IL-8, TGF-P2, HGF.</w:t>
      </w:r>
    </w:p>
    <w:p w14:paraId="1EBA67FF" w14:textId="77777777" w:rsidR="00D527C0" w:rsidRPr="00D527C0" w:rsidRDefault="00D527C0" w:rsidP="00D527C0">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На начальном этапе хирургического лечения у всех пациентов был произведен забор биологического материала (ВПК и/или СТ).</w:t>
      </w:r>
    </w:p>
    <w:p w14:paraId="70347195" w14:textId="77777777" w:rsidR="00D527C0" w:rsidRPr="00D527C0" w:rsidRDefault="00D527C0" w:rsidP="00D527C0">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 xml:space="preserve">Таким образом, результаты исследования говорят о том, что </w:t>
      </w:r>
      <w:r w:rsidRPr="00D527C0">
        <w:rPr>
          <w:rFonts w:ascii="Times New Roman" w:eastAsia="Times New Roman" w:hAnsi="Times New Roman" w:cs="Times New Roman"/>
          <w:color w:val="000000"/>
          <w:kern w:val="0"/>
          <w:sz w:val="26"/>
          <w:szCs w:val="26"/>
          <w:shd w:val="clear" w:color="auto" w:fill="FFFFFF"/>
          <w:lang w:val="en-US" w:eastAsia="en-US"/>
        </w:rPr>
        <w:t>IL</w:t>
      </w:r>
      <w:r w:rsidRPr="00D527C0">
        <w:rPr>
          <w:rFonts w:ascii="Times New Roman" w:eastAsia="Times New Roman" w:hAnsi="Times New Roman" w:cs="Times New Roman"/>
          <w:color w:val="000000"/>
          <w:kern w:val="0"/>
          <w:sz w:val="26"/>
          <w:szCs w:val="26"/>
          <w:shd w:val="clear" w:color="auto" w:fill="FFFFFF"/>
          <w:lang w:eastAsia="ru-RU"/>
        </w:rPr>
        <w:t xml:space="preserve">-6, </w:t>
      </w:r>
      <w:r w:rsidRPr="00D527C0">
        <w:rPr>
          <w:rFonts w:ascii="Times New Roman" w:eastAsia="Times New Roman" w:hAnsi="Times New Roman" w:cs="Times New Roman"/>
          <w:color w:val="000000"/>
          <w:kern w:val="0"/>
          <w:sz w:val="26"/>
          <w:szCs w:val="26"/>
          <w:shd w:val="clear" w:color="auto" w:fill="FFFFFF"/>
          <w:lang w:val="en-US" w:eastAsia="en-US"/>
        </w:rPr>
        <w:t xml:space="preserve">VEGF </w:t>
      </w:r>
      <w:r w:rsidRPr="00D527C0">
        <w:rPr>
          <w:rFonts w:ascii="Times New Roman" w:eastAsia="Times New Roman" w:hAnsi="Times New Roman" w:cs="Times New Roman"/>
          <w:color w:val="000000"/>
          <w:kern w:val="0"/>
          <w:sz w:val="26"/>
          <w:szCs w:val="26"/>
          <w:shd w:val="clear" w:color="auto" w:fill="FFFFFF"/>
          <w:lang w:eastAsia="ru-RU"/>
        </w:rPr>
        <w:t xml:space="preserve">и </w:t>
      </w:r>
      <w:r w:rsidRPr="00D527C0">
        <w:rPr>
          <w:rFonts w:ascii="Times New Roman" w:eastAsia="Times New Roman" w:hAnsi="Times New Roman" w:cs="Times New Roman"/>
          <w:color w:val="000000"/>
          <w:kern w:val="0"/>
          <w:sz w:val="26"/>
          <w:szCs w:val="26"/>
          <w:shd w:val="clear" w:color="auto" w:fill="FFFFFF"/>
          <w:lang w:val="en-US" w:eastAsia="en-US"/>
        </w:rPr>
        <w:t xml:space="preserve">TGF- </w:t>
      </w:r>
      <w:r w:rsidRPr="00D527C0">
        <w:rPr>
          <w:rFonts w:ascii="Times New Roman" w:eastAsia="Times New Roman" w:hAnsi="Times New Roman" w:cs="Times New Roman"/>
          <w:color w:val="000000"/>
          <w:kern w:val="0"/>
          <w:sz w:val="26"/>
          <w:szCs w:val="26"/>
          <w:shd w:val="clear" w:color="auto" w:fill="FFFFFF"/>
          <w:lang w:eastAsia="ru-RU"/>
        </w:rPr>
        <w:t xml:space="preserve">р2 имеют показательно высокую концентрацию во ВПК, а </w:t>
      </w:r>
      <w:r w:rsidRPr="00D527C0">
        <w:rPr>
          <w:rFonts w:ascii="Times New Roman" w:eastAsia="Times New Roman" w:hAnsi="Times New Roman" w:cs="Times New Roman"/>
          <w:color w:val="000000"/>
          <w:kern w:val="0"/>
          <w:sz w:val="26"/>
          <w:szCs w:val="26"/>
          <w:shd w:val="clear" w:color="auto" w:fill="FFFFFF"/>
          <w:lang w:val="en-US" w:eastAsia="en-US"/>
        </w:rPr>
        <w:t xml:space="preserve">IL-8, VEGF </w:t>
      </w:r>
      <w:r w:rsidRPr="00D527C0">
        <w:rPr>
          <w:rFonts w:ascii="Times New Roman" w:eastAsia="Times New Roman" w:hAnsi="Times New Roman" w:cs="Times New Roman"/>
          <w:color w:val="000000"/>
          <w:kern w:val="0"/>
          <w:sz w:val="26"/>
          <w:szCs w:val="26"/>
          <w:shd w:val="clear" w:color="auto" w:fill="FFFFFF"/>
          <w:lang w:eastAsia="ru-RU"/>
        </w:rPr>
        <w:t xml:space="preserve">и </w:t>
      </w:r>
      <w:r w:rsidRPr="00D527C0">
        <w:rPr>
          <w:rFonts w:ascii="Times New Roman" w:eastAsia="Times New Roman" w:hAnsi="Times New Roman" w:cs="Times New Roman"/>
          <w:color w:val="000000"/>
          <w:kern w:val="0"/>
          <w:sz w:val="26"/>
          <w:szCs w:val="26"/>
          <w:shd w:val="clear" w:color="auto" w:fill="FFFFFF"/>
          <w:lang w:val="en-US" w:eastAsia="en-US"/>
        </w:rPr>
        <w:t xml:space="preserve">HGF </w:t>
      </w:r>
      <w:r w:rsidRPr="00D527C0">
        <w:rPr>
          <w:rFonts w:ascii="Times New Roman" w:eastAsia="Times New Roman" w:hAnsi="Times New Roman" w:cs="Times New Roman"/>
          <w:color w:val="000000"/>
          <w:kern w:val="0"/>
          <w:sz w:val="26"/>
          <w:szCs w:val="26"/>
          <w:shd w:val="clear" w:color="auto" w:fill="FFFFFF"/>
          <w:lang w:eastAsia="ru-RU"/>
        </w:rPr>
        <w:t>в СТ.</w:t>
      </w:r>
    </w:p>
    <w:p w14:paraId="26F65A11" w14:textId="77777777" w:rsidR="00D527C0" w:rsidRPr="00D527C0" w:rsidRDefault="00D527C0" w:rsidP="00D527C0">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rPr>
      </w:pPr>
      <w:r w:rsidRPr="00D527C0">
        <w:rPr>
          <w:rFonts w:ascii="Times New Roman" w:eastAsia="Times New Roman" w:hAnsi="Times New Roman" w:cs="Times New Roman"/>
          <w:color w:val="000000"/>
          <w:kern w:val="0"/>
          <w:sz w:val="26"/>
          <w:szCs w:val="26"/>
          <w:shd w:val="clear" w:color="auto" w:fill="FFFFFF"/>
          <w:lang w:eastAsia="ru-RU"/>
        </w:rPr>
        <w:t xml:space="preserve">Проведенное иммунологическое исследование ВПК глаза и СТ позволило исследовать показатели концентрации цитокинов и обнаружить предикторы развития более тяжелой формы ДР. Для этого было проведено сравнение маркеров на переднем и заднем отрезке глаза у одних и тех же пациентов, для чего была отобрана группа из уже исследуемых (12 человек) с диагнозом ПДР, НГ и СД. Во ВПК </w:t>
      </w:r>
      <w:r w:rsidRPr="00D527C0">
        <w:rPr>
          <w:rFonts w:ascii="Times New Roman" w:eastAsia="Times New Roman" w:hAnsi="Times New Roman" w:cs="Times New Roman"/>
          <w:color w:val="000000"/>
          <w:kern w:val="0"/>
          <w:sz w:val="26"/>
          <w:szCs w:val="26"/>
          <w:shd w:val="clear" w:color="auto" w:fill="FFFFFF"/>
          <w:lang w:val="en-US" w:eastAsia="en-US"/>
        </w:rPr>
        <w:t xml:space="preserve">IL-6 </w:t>
      </w:r>
      <w:r w:rsidRPr="00D527C0">
        <w:rPr>
          <w:rFonts w:ascii="Times New Roman" w:eastAsia="Times New Roman" w:hAnsi="Times New Roman" w:cs="Times New Roman"/>
          <w:color w:val="000000"/>
          <w:kern w:val="0"/>
          <w:sz w:val="26"/>
          <w:szCs w:val="26"/>
          <w:shd w:val="clear" w:color="auto" w:fill="FFFFFF"/>
          <w:lang w:eastAsia="ru-RU"/>
        </w:rPr>
        <w:t xml:space="preserve">и </w:t>
      </w:r>
      <w:r w:rsidRPr="00D527C0">
        <w:rPr>
          <w:rFonts w:ascii="Times New Roman" w:eastAsia="Times New Roman" w:hAnsi="Times New Roman" w:cs="Times New Roman"/>
          <w:color w:val="000000"/>
          <w:kern w:val="0"/>
          <w:sz w:val="26"/>
          <w:szCs w:val="26"/>
          <w:shd w:val="clear" w:color="auto" w:fill="FFFFFF"/>
          <w:lang w:val="en-US" w:eastAsia="en-US"/>
        </w:rPr>
        <w:t xml:space="preserve">VEGF </w:t>
      </w:r>
      <w:r w:rsidRPr="00D527C0">
        <w:rPr>
          <w:rFonts w:ascii="Times New Roman" w:eastAsia="Times New Roman" w:hAnsi="Times New Roman" w:cs="Times New Roman"/>
          <w:color w:val="000000"/>
          <w:kern w:val="0"/>
          <w:sz w:val="26"/>
          <w:szCs w:val="26"/>
          <w:shd w:val="clear" w:color="auto" w:fill="FFFFFF"/>
          <w:lang w:eastAsia="ru-RU"/>
        </w:rPr>
        <w:t xml:space="preserve">занимают </w:t>
      </w:r>
      <w:r w:rsidRPr="00D527C0">
        <w:rPr>
          <w:rFonts w:ascii="Times New Roman" w:eastAsia="Times New Roman" w:hAnsi="Times New Roman" w:cs="Times New Roman"/>
          <w:color w:val="000000"/>
          <w:kern w:val="0"/>
          <w:sz w:val="26"/>
          <w:szCs w:val="26"/>
          <w:shd w:val="clear" w:color="auto" w:fill="FFFFFF"/>
          <w:lang w:eastAsia="ru-RU"/>
        </w:rPr>
        <w:lastRenderedPageBreak/>
        <w:t xml:space="preserve">ведущие позиции касаемо неоваскуляризации переднего отрезка. Отмечено существенное отличие концентрации </w:t>
      </w:r>
      <w:r w:rsidRPr="00D527C0">
        <w:rPr>
          <w:rFonts w:ascii="Times New Roman" w:eastAsia="Times New Roman" w:hAnsi="Times New Roman" w:cs="Times New Roman"/>
          <w:color w:val="000000"/>
          <w:kern w:val="0"/>
          <w:sz w:val="26"/>
          <w:szCs w:val="26"/>
          <w:shd w:val="clear" w:color="auto" w:fill="FFFFFF"/>
          <w:lang w:val="en-US" w:eastAsia="en-US"/>
        </w:rPr>
        <w:t xml:space="preserve">IL-6 </w:t>
      </w:r>
      <w:r w:rsidRPr="00D527C0">
        <w:rPr>
          <w:rFonts w:ascii="Times New Roman" w:eastAsia="Times New Roman" w:hAnsi="Times New Roman" w:cs="Times New Roman"/>
          <w:color w:val="000000"/>
          <w:kern w:val="0"/>
          <w:sz w:val="26"/>
          <w:szCs w:val="26"/>
          <w:shd w:val="clear" w:color="auto" w:fill="FFFFFF"/>
          <w:lang w:eastAsia="ru-RU"/>
        </w:rPr>
        <w:t xml:space="preserve">и </w:t>
      </w:r>
      <w:r w:rsidRPr="00D527C0">
        <w:rPr>
          <w:rFonts w:ascii="Times New Roman" w:eastAsia="Times New Roman" w:hAnsi="Times New Roman" w:cs="Times New Roman"/>
          <w:color w:val="000000"/>
          <w:kern w:val="0"/>
          <w:sz w:val="26"/>
          <w:szCs w:val="26"/>
          <w:shd w:val="clear" w:color="auto" w:fill="FFFFFF"/>
          <w:lang w:val="en-US" w:eastAsia="en-US"/>
        </w:rPr>
        <w:t xml:space="preserve">VEGF </w:t>
      </w:r>
      <w:r w:rsidRPr="00D527C0">
        <w:rPr>
          <w:rFonts w:ascii="Times New Roman" w:eastAsia="Times New Roman" w:hAnsi="Times New Roman" w:cs="Times New Roman"/>
          <w:color w:val="000000"/>
          <w:kern w:val="0"/>
          <w:sz w:val="26"/>
          <w:szCs w:val="26"/>
          <w:shd w:val="clear" w:color="auto" w:fill="FFFFFF"/>
          <w:lang w:eastAsia="ru-RU"/>
        </w:rPr>
        <w:t>как во ВПК глаза, так и в СТ.</w:t>
      </w:r>
    </w:p>
    <w:p w14:paraId="319B61B2" w14:textId="53E9F83F" w:rsidR="00D527C0" w:rsidRPr="00D527C0" w:rsidRDefault="00D527C0" w:rsidP="00D527C0">
      <w:r w:rsidRPr="00D527C0">
        <w:rPr>
          <w:rFonts w:ascii="Times New Roman" w:eastAsia="Times New Roman" w:hAnsi="Times New Roman" w:cs="Microsoft Sans Serif"/>
          <w:color w:val="000000"/>
          <w:kern w:val="0"/>
          <w:sz w:val="26"/>
          <w:szCs w:val="26"/>
          <w:shd w:val="clear" w:color="auto" w:fill="FFFFFF"/>
          <w:lang w:eastAsia="ru-RU"/>
        </w:rPr>
        <w:t xml:space="preserve">Локальная активность во ВПК и СТ </w:t>
      </w:r>
      <w:r w:rsidRPr="00D527C0">
        <w:rPr>
          <w:rFonts w:ascii="Times New Roman" w:eastAsia="Times New Roman" w:hAnsi="Times New Roman" w:cs="Microsoft Sans Serif"/>
          <w:color w:val="000000"/>
          <w:kern w:val="0"/>
          <w:sz w:val="26"/>
          <w:szCs w:val="26"/>
          <w:shd w:val="clear" w:color="auto" w:fill="FFFFFF"/>
          <w:lang w:val="en-US" w:eastAsia="en-US"/>
        </w:rPr>
        <w:t>IL</w:t>
      </w:r>
      <w:r w:rsidRPr="00D527C0">
        <w:rPr>
          <w:rFonts w:ascii="Times New Roman" w:eastAsia="Times New Roman" w:hAnsi="Times New Roman" w:cs="Microsoft Sans Serif"/>
          <w:color w:val="000000"/>
          <w:kern w:val="0"/>
          <w:sz w:val="26"/>
          <w:szCs w:val="26"/>
          <w:shd w:val="clear" w:color="auto" w:fill="FFFFFF"/>
          <w:lang w:eastAsia="en-US"/>
        </w:rPr>
        <w:t xml:space="preserve">-6, </w:t>
      </w:r>
      <w:r w:rsidRPr="00D527C0">
        <w:rPr>
          <w:rFonts w:ascii="Times New Roman" w:eastAsia="Times New Roman" w:hAnsi="Times New Roman" w:cs="Microsoft Sans Serif"/>
          <w:color w:val="000000"/>
          <w:kern w:val="0"/>
          <w:sz w:val="26"/>
          <w:szCs w:val="26"/>
          <w:shd w:val="clear" w:color="auto" w:fill="FFFFFF"/>
          <w:lang w:val="en-US" w:eastAsia="en-US"/>
        </w:rPr>
        <w:t>IL</w:t>
      </w:r>
      <w:r w:rsidRPr="00D527C0">
        <w:rPr>
          <w:rFonts w:ascii="Times New Roman" w:eastAsia="Times New Roman" w:hAnsi="Times New Roman" w:cs="Microsoft Sans Serif"/>
          <w:color w:val="000000"/>
          <w:kern w:val="0"/>
          <w:sz w:val="26"/>
          <w:szCs w:val="26"/>
          <w:shd w:val="clear" w:color="auto" w:fill="FFFFFF"/>
          <w:lang w:eastAsia="en-US"/>
        </w:rPr>
        <w:t xml:space="preserve">-8 </w:t>
      </w:r>
      <w:r w:rsidRPr="00D527C0">
        <w:rPr>
          <w:rFonts w:ascii="Times New Roman" w:eastAsia="Times New Roman" w:hAnsi="Times New Roman" w:cs="Microsoft Sans Serif"/>
          <w:color w:val="000000"/>
          <w:kern w:val="0"/>
          <w:sz w:val="26"/>
          <w:szCs w:val="26"/>
          <w:shd w:val="clear" w:color="auto" w:fill="FFFFFF"/>
          <w:lang w:eastAsia="ru-RU"/>
        </w:rPr>
        <w:t xml:space="preserve">и </w:t>
      </w:r>
      <w:r w:rsidRPr="00D527C0">
        <w:rPr>
          <w:rFonts w:ascii="Times New Roman" w:eastAsia="Times New Roman" w:hAnsi="Times New Roman" w:cs="Microsoft Sans Serif"/>
          <w:color w:val="000000"/>
          <w:kern w:val="0"/>
          <w:sz w:val="26"/>
          <w:szCs w:val="26"/>
          <w:shd w:val="clear" w:color="auto" w:fill="FFFFFF"/>
          <w:lang w:val="en-US" w:eastAsia="en-US"/>
        </w:rPr>
        <w:t>VEGF</w:t>
      </w:r>
      <w:r w:rsidRPr="00D527C0">
        <w:rPr>
          <w:rFonts w:ascii="Times New Roman" w:eastAsia="Times New Roman" w:hAnsi="Times New Roman" w:cs="Microsoft Sans Serif"/>
          <w:color w:val="000000"/>
          <w:kern w:val="0"/>
          <w:sz w:val="26"/>
          <w:szCs w:val="26"/>
          <w:shd w:val="clear" w:color="auto" w:fill="FFFFFF"/>
          <w:lang w:eastAsia="en-US"/>
        </w:rPr>
        <w:t xml:space="preserve"> </w:t>
      </w:r>
      <w:r w:rsidRPr="00D527C0">
        <w:rPr>
          <w:rFonts w:ascii="Times New Roman" w:eastAsia="Times New Roman" w:hAnsi="Times New Roman" w:cs="Microsoft Sans Serif"/>
          <w:color w:val="000000"/>
          <w:kern w:val="0"/>
          <w:sz w:val="26"/>
          <w:szCs w:val="26"/>
          <w:shd w:val="clear" w:color="auto" w:fill="FFFFFF"/>
          <w:lang w:eastAsia="ru-RU"/>
        </w:rPr>
        <w:t>может в дальнейшем определять тяжесть течения патологического процесса. Обнаруженные значения цитокинов могут стать отправной точкой для дальнейшей работы над развитием прогностических критериев развития процесса патологической неоваскуляризации и пролиферации, а также лечь в основу нового направления лекарственной терапии</w:t>
      </w:r>
    </w:p>
    <w:sectPr w:rsidR="00D527C0" w:rsidRPr="00D527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89A6F" w14:textId="77777777" w:rsidR="00C44201" w:rsidRDefault="00C44201">
      <w:pPr>
        <w:spacing w:after="0" w:line="240" w:lineRule="auto"/>
      </w:pPr>
      <w:r>
        <w:separator/>
      </w:r>
    </w:p>
  </w:endnote>
  <w:endnote w:type="continuationSeparator" w:id="0">
    <w:p w14:paraId="4482F310" w14:textId="77777777" w:rsidR="00C44201" w:rsidRDefault="00C4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237C" w14:textId="77777777" w:rsidR="00C44201" w:rsidRDefault="00C44201"/>
    <w:p w14:paraId="4A8330C0" w14:textId="77777777" w:rsidR="00C44201" w:rsidRDefault="00C44201"/>
    <w:p w14:paraId="25F21463" w14:textId="77777777" w:rsidR="00C44201" w:rsidRDefault="00C44201"/>
    <w:p w14:paraId="5304DD40" w14:textId="77777777" w:rsidR="00C44201" w:rsidRDefault="00C44201"/>
    <w:p w14:paraId="7CA8BE6E" w14:textId="77777777" w:rsidR="00C44201" w:rsidRDefault="00C44201"/>
    <w:p w14:paraId="709E8E86" w14:textId="77777777" w:rsidR="00C44201" w:rsidRDefault="00C44201"/>
    <w:p w14:paraId="0DCEA198" w14:textId="77777777" w:rsidR="00C44201" w:rsidRDefault="00C442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D54AA0" wp14:editId="2E9CAF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80B9D" w14:textId="77777777" w:rsidR="00C44201" w:rsidRDefault="00C442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D54A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280B9D" w14:textId="77777777" w:rsidR="00C44201" w:rsidRDefault="00C442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1A01E2" w14:textId="77777777" w:rsidR="00C44201" w:rsidRDefault="00C44201"/>
    <w:p w14:paraId="3FC727BF" w14:textId="77777777" w:rsidR="00C44201" w:rsidRDefault="00C44201"/>
    <w:p w14:paraId="564CB2C3" w14:textId="77777777" w:rsidR="00C44201" w:rsidRDefault="00C442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0F0123" wp14:editId="76AB71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47E7A" w14:textId="77777777" w:rsidR="00C44201" w:rsidRDefault="00C44201"/>
                          <w:p w14:paraId="5594C64A" w14:textId="77777777" w:rsidR="00C44201" w:rsidRDefault="00C442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0F01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A47E7A" w14:textId="77777777" w:rsidR="00C44201" w:rsidRDefault="00C44201"/>
                    <w:p w14:paraId="5594C64A" w14:textId="77777777" w:rsidR="00C44201" w:rsidRDefault="00C442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72BDA7" w14:textId="77777777" w:rsidR="00C44201" w:rsidRDefault="00C44201"/>
    <w:p w14:paraId="67E28F33" w14:textId="77777777" w:rsidR="00C44201" w:rsidRDefault="00C44201">
      <w:pPr>
        <w:rPr>
          <w:sz w:val="2"/>
          <w:szCs w:val="2"/>
        </w:rPr>
      </w:pPr>
    </w:p>
    <w:p w14:paraId="799C8811" w14:textId="77777777" w:rsidR="00C44201" w:rsidRDefault="00C44201"/>
    <w:p w14:paraId="051CEDA3" w14:textId="77777777" w:rsidR="00C44201" w:rsidRDefault="00C44201">
      <w:pPr>
        <w:spacing w:after="0" w:line="240" w:lineRule="auto"/>
      </w:pPr>
    </w:p>
  </w:footnote>
  <w:footnote w:type="continuationSeparator" w:id="0">
    <w:p w14:paraId="77B56ACC" w14:textId="77777777" w:rsidR="00C44201" w:rsidRDefault="00C44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5"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6"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01"/>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86620</TotalTime>
  <Pages>4</Pages>
  <Words>1046</Words>
  <Characters>5965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3282</cp:revision>
  <cp:lastPrinted>2009-02-06T05:36:00Z</cp:lastPrinted>
  <dcterms:created xsi:type="dcterms:W3CDTF">2024-01-07T13:43:00Z</dcterms:created>
  <dcterms:modified xsi:type="dcterms:W3CDTF">2025-05-02T18:36:00Z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