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6A" w:rsidRPr="00846E6A" w:rsidRDefault="00846E6A" w:rsidP="00846E6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846E6A">
        <w:rPr>
          <w:rFonts w:ascii="Arial" w:hAnsi="Arial" w:cs="Arial"/>
          <w:b/>
          <w:bCs/>
          <w:color w:val="000000"/>
          <w:kern w:val="0"/>
          <w:sz w:val="28"/>
          <w:szCs w:val="28"/>
          <w:lang w:eastAsia="ru-RU"/>
        </w:rPr>
        <w:t>Чупрін Євген Сергійович</w:t>
      </w:r>
      <w:r w:rsidRPr="00846E6A">
        <w:rPr>
          <w:rFonts w:ascii="Arial" w:hAnsi="Arial" w:cs="Arial"/>
          <w:color w:val="000000"/>
          <w:kern w:val="0"/>
          <w:sz w:val="28"/>
          <w:szCs w:val="28"/>
          <w:lang w:eastAsia="ru-RU"/>
        </w:rPr>
        <w:t xml:space="preserve">, аспірант кафедри економіки та бізнесу Харківського національного університету будівництва та архітектури, тема дисертації: «Формування системи забезпечення економічної безпеки підприємств», (051Економіка). Спеціалізована вчена рада ДФ64.056.005 в Харківськомунаціональномууніверситетібудівництва та архітектури, (м. Харків, вул. Сумська, 40, </w:t>
      </w:r>
    </w:p>
    <w:p w:rsidR="00C26D80" w:rsidRPr="00846E6A" w:rsidRDefault="00C26D80" w:rsidP="00846E6A"/>
    <w:sectPr w:rsidR="00C26D80" w:rsidRPr="00846E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846E6A" w:rsidRPr="00846E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2847A-37E1-447C-B3DC-7C57C2D8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2402</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2021-10-15T14:11:00Z</dcterms:created>
  <dcterms:modified xsi:type="dcterms:W3CDTF">2021-10-21T09:48:00Z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